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8A069" w14:textId="395E4D10" w:rsidR="007D0809" w:rsidRPr="008D2252" w:rsidRDefault="007D0809" w:rsidP="007D0809">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w:t>
      </w:r>
      <w:r>
        <w:rPr>
          <w:rFonts w:ascii="Arial" w:hAnsi="Arial" w:cs="Arial" w:hint="eastAsia"/>
          <w:b/>
          <w:bCs/>
          <w:szCs w:val="24"/>
        </w:rPr>
        <w:t>1</w:t>
      </w:r>
      <w:r>
        <w:rPr>
          <w:rFonts w:ascii="Arial" w:hAnsi="Arial" w:cs="Arial"/>
          <w:b/>
          <w:bCs/>
          <w:szCs w:val="24"/>
        </w:rPr>
        <w:t>0</w:t>
      </w:r>
      <w:r w:rsidR="00EA0F9E">
        <w:rPr>
          <w:rFonts w:ascii="Arial" w:hAnsi="Arial" w:cs="Arial" w:hint="eastAsia"/>
          <w:b/>
          <w:bCs/>
          <w:szCs w:val="24"/>
        </w:rPr>
        <w:t>2</w:t>
      </w:r>
      <w:r w:rsidRPr="008D2252">
        <w:rPr>
          <w:rFonts w:ascii="Arial" w:hAnsi="Arial" w:cs="Arial"/>
          <w:b/>
          <w:bCs/>
          <w:szCs w:val="24"/>
          <w:lang w:eastAsia="en-US"/>
        </w:rPr>
        <w:tab/>
      </w:r>
      <w:r>
        <w:rPr>
          <w:rFonts w:ascii="Arial" w:hAnsi="Arial" w:cs="Arial"/>
          <w:b/>
          <w:bCs/>
          <w:szCs w:val="24"/>
          <w:lang w:eastAsia="en-US"/>
        </w:rPr>
        <w:tab/>
      </w:r>
      <w:r>
        <w:rPr>
          <w:rFonts w:ascii="Arial" w:hAnsi="Arial" w:cs="Arial"/>
          <w:b/>
          <w:bCs/>
          <w:szCs w:val="24"/>
          <w:lang w:eastAsia="en-US"/>
        </w:rPr>
        <w:tab/>
      </w:r>
      <w:r w:rsidR="00236001" w:rsidRPr="00236001">
        <w:rPr>
          <w:rFonts w:ascii="Arial" w:hAnsi="Arial" w:cs="Arial"/>
          <w:b/>
          <w:bCs/>
          <w:szCs w:val="24"/>
          <w:lang w:eastAsia="en-US"/>
        </w:rPr>
        <w:t>R1-200</w:t>
      </w:r>
      <w:r w:rsidR="005238C8">
        <w:rPr>
          <w:rFonts w:ascii="Arial" w:hAnsi="Arial" w:cs="Arial" w:hint="eastAsia"/>
          <w:b/>
          <w:bCs/>
          <w:szCs w:val="24"/>
        </w:rPr>
        <w:t>6746</w:t>
      </w:r>
    </w:p>
    <w:p w14:paraId="783EAB91" w14:textId="010A8AD9" w:rsidR="007D0809" w:rsidRPr="008D2252" w:rsidRDefault="007D0809" w:rsidP="007D0809">
      <w:pPr>
        <w:tabs>
          <w:tab w:val="center" w:pos="4536"/>
          <w:tab w:val="right" w:pos="9072"/>
        </w:tabs>
        <w:rPr>
          <w:rFonts w:ascii="Arial" w:eastAsia="ＭＳ 明朝" w:hAnsi="Arial" w:cs="Arial"/>
          <w:b/>
          <w:bCs/>
          <w:szCs w:val="24"/>
        </w:rPr>
      </w:pPr>
      <w:r>
        <w:rPr>
          <w:rFonts w:ascii="Arial" w:eastAsia="ＭＳ 明朝" w:hAnsi="Arial" w:cs="Arial"/>
          <w:b/>
          <w:bCs/>
          <w:szCs w:val="24"/>
        </w:rPr>
        <w:t xml:space="preserve">e-Meeting, </w:t>
      </w:r>
      <w:r w:rsidR="00EA0F9E">
        <w:rPr>
          <w:rFonts w:ascii="Arial" w:eastAsia="ＭＳ 明朝" w:hAnsi="Arial" w:cs="Arial"/>
          <w:b/>
          <w:bCs/>
          <w:szCs w:val="24"/>
        </w:rPr>
        <w:t>August</w:t>
      </w:r>
      <w:r>
        <w:rPr>
          <w:rFonts w:ascii="Arial" w:eastAsia="ＭＳ 明朝" w:hAnsi="Arial" w:cs="Arial"/>
          <w:b/>
          <w:bCs/>
          <w:szCs w:val="24"/>
        </w:rPr>
        <w:t xml:space="preserve"> </w:t>
      </w:r>
      <w:r w:rsidR="00EA0F9E">
        <w:rPr>
          <w:rFonts w:ascii="Arial" w:eastAsia="ＭＳ 明朝" w:hAnsi="Arial" w:cs="Arial"/>
          <w:b/>
          <w:bCs/>
          <w:szCs w:val="24"/>
        </w:rPr>
        <w:t>17</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sidR="00EA0F9E">
        <w:rPr>
          <w:rFonts w:ascii="Arial" w:eastAsia="ＭＳ 明朝" w:hAnsi="Arial" w:cs="Arial"/>
          <w:b/>
          <w:bCs/>
          <w:szCs w:val="24"/>
        </w:rPr>
        <w:t>28</w:t>
      </w:r>
      <w:r>
        <w:rPr>
          <w:rFonts w:ascii="Arial" w:eastAsia="ＭＳ 明朝" w:hAnsi="Arial" w:cs="Arial"/>
          <w:b/>
          <w:bCs/>
          <w:szCs w:val="24"/>
          <w:vertAlign w:val="superscript"/>
        </w:rPr>
        <w:t>th</w:t>
      </w:r>
      <w:r>
        <w:rPr>
          <w:rFonts w:ascii="Arial" w:eastAsia="ＭＳ 明朝" w:hAnsi="Arial" w:cs="Arial"/>
          <w:b/>
          <w:bCs/>
          <w:szCs w:val="24"/>
        </w:rPr>
        <w:t>, 2020</w:t>
      </w:r>
    </w:p>
    <w:p w14:paraId="28806336" w14:textId="77777777" w:rsidR="00B06F73" w:rsidRPr="003D38BE"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17AC2985"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00F10A04">
        <w:rPr>
          <w:sz w:val="24"/>
          <w:lang w:val="en-US"/>
        </w:rPr>
        <w:t>Discussion</w:t>
      </w:r>
      <w:r w:rsidR="00873D97">
        <w:rPr>
          <w:sz w:val="24"/>
          <w:lang w:val="en-US"/>
        </w:rPr>
        <w:t xml:space="preserve"> on sidelink evaluation methodology for power saving</w:t>
      </w:r>
    </w:p>
    <w:bookmarkEnd w:id="1"/>
    <w:bookmarkEnd w:id="2"/>
    <w:bookmarkEnd w:id="3"/>
    <w:bookmarkEnd w:id="4"/>
    <w:p w14:paraId="1A271381" w14:textId="686A9E01"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00012506">
        <w:rPr>
          <w:sz w:val="24"/>
          <w:lang w:val="en-US" w:eastAsia="ja-JP"/>
        </w:rPr>
        <w:t>8.11.1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4149F888" w:rsidR="007A7607" w:rsidRPr="00B62A6A" w:rsidRDefault="009F32E9" w:rsidP="00B342A7">
      <w:pPr>
        <w:jc w:val="both"/>
        <w:rPr>
          <w:rFonts w:eastAsiaTheme="minorEastAsia"/>
          <w:sz w:val="22"/>
          <w:lang w:val="en-US"/>
        </w:rPr>
      </w:pPr>
      <w:r>
        <w:rPr>
          <w:rFonts w:eastAsiaTheme="minorEastAsia" w:hint="eastAsia"/>
          <w:sz w:val="22"/>
          <w:lang w:val="en-US"/>
        </w:rPr>
        <w:t xml:space="preserve">At </w:t>
      </w:r>
      <w:r>
        <w:rPr>
          <w:rFonts w:eastAsiaTheme="minorEastAsia"/>
          <w:sz w:val="22"/>
          <w:lang w:val="en-US"/>
        </w:rPr>
        <w:t>RAN#88 meeting, revised WID [1] on NR sidelink enhancement was endorsed. Based on the WID, RAN1 starts discussion from this meeting. In this contribution, we provide our views on evaluation methodology update for power saving.</w:t>
      </w:r>
    </w:p>
    <w:p w14:paraId="7F5293F1" w14:textId="77777777" w:rsidR="00E717CB" w:rsidRPr="00B62A6A" w:rsidRDefault="00E717CB"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462B89D7" w14:textId="4430D513" w:rsidR="00A06264" w:rsidRDefault="004B7B09" w:rsidP="00383841">
      <w:pPr>
        <w:spacing w:beforeLines="50" w:before="120" w:afterLines="50" w:after="120"/>
        <w:jc w:val="both"/>
        <w:rPr>
          <w:rFonts w:eastAsiaTheme="minorEastAsia"/>
          <w:iCs/>
          <w:sz w:val="22"/>
          <w:lang w:val="en-US"/>
        </w:rPr>
      </w:pPr>
      <w:r>
        <w:rPr>
          <w:rFonts w:eastAsiaTheme="minorEastAsia"/>
          <w:iCs/>
          <w:sz w:val="22"/>
          <w:lang w:val="en-US"/>
        </w:rPr>
        <w:t>In</w:t>
      </w:r>
      <w:r>
        <w:rPr>
          <w:rFonts w:eastAsiaTheme="minorEastAsia" w:hint="eastAsia"/>
          <w:iCs/>
          <w:sz w:val="22"/>
          <w:lang w:val="en-US"/>
        </w:rPr>
        <w:t xml:space="preserve"> 3GPP, evaluation methodolog</w:t>
      </w:r>
      <w:r>
        <w:rPr>
          <w:rFonts w:eastAsiaTheme="minorEastAsia"/>
          <w:iCs/>
          <w:sz w:val="22"/>
          <w:lang w:val="en-US"/>
        </w:rPr>
        <w:t xml:space="preserve">y for power saving </w:t>
      </w:r>
      <w:r>
        <w:rPr>
          <w:rFonts w:eastAsiaTheme="minorEastAsia" w:hint="eastAsia"/>
          <w:iCs/>
          <w:sz w:val="22"/>
          <w:lang w:val="en-US"/>
        </w:rPr>
        <w:t xml:space="preserve">was </w:t>
      </w:r>
      <w:r>
        <w:rPr>
          <w:rFonts w:eastAsiaTheme="minorEastAsia"/>
          <w:iCs/>
          <w:sz w:val="22"/>
          <w:lang w:val="en-US"/>
        </w:rPr>
        <w:t xml:space="preserve">already studied; outcomes of </w:t>
      </w:r>
      <w:r w:rsidR="00AF58CD">
        <w:rPr>
          <w:rFonts w:eastAsiaTheme="minorEastAsia"/>
          <w:iCs/>
          <w:sz w:val="22"/>
          <w:lang w:val="en-US"/>
        </w:rPr>
        <w:t xml:space="preserve">the </w:t>
      </w:r>
      <w:r>
        <w:rPr>
          <w:rFonts w:eastAsiaTheme="minorEastAsia"/>
          <w:iCs/>
          <w:sz w:val="22"/>
          <w:lang w:val="en-US"/>
        </w:rPr>
        <w:t>studies for LTE D2D (mainly public safety) and NR Uu are TR 36.843 and TR 38.840, respectively.</w:t>
      </w:r>
      <w:r w:rsidR="004E47E3">
        <w:rPr>
          <w:rFonts w:eastAsiaTheme="minorEastAsia"/>
          <w:iCs/>
          <w:sz w:val="22"/>
          <w:lang w:val="en-US"/>
        </w:rPr>
        <w:t xml:space="preserve"> Baseline for evaluation methodology of this WI is them and they need to be combined appropriately.</w:t>
      </w:r>
    </w:p>
    <w:p w14:paraId="5AC03A62" w14:textId="5C68CAF9" w:rsidR="001D361F" w:rsidRDefault="001D361F" w:rsidP="00383841">
      <w:pPr>
        <w:spacing w:beforeLines="50" w:before="120" w:afterLines="50" w:after="120"/>
        <w:jc w:val="both"/>
        <w:rPr>
          <w:rFonts w:eastAsiaTheme="minorEastAsia"/>
          <w:iCs/>
          <w:sz w:val="22"/>
          <w:lang w:val="en-US"/>
        </w:rPr>
      </w:pPr>
      <w:r w:rsidRPr="001D361F">
        <w:rPr>
          <w:rFonts w:eastAsiaTheme="minorEastAsia"/>
          <w:iCs/>
          <w:sz w:val="22"/>
          <w:u w:val="single"/>
          <w:lang w:val="en-US"/>
        </w:rPr>
        <w:t>D</w:t>
      </w:r>
      <w:r w:rsidR="004E47E3" w:rsidRPr="001D361F">
        <w:rPr>
          <w:rFonts w:eastAsiaTheme="minorEastAsia"/>
          <w:iCs/>
          <w:sz w:val="22"/>
          <w:u w:val="single"/>
          <w:lang w:val="en-US"/>
        </w:rPr>
        <w:t>eployment scenarios</w:t>
      </w:r>
    </w:p>
    <w:p w14:paraId="28C99933" w14:textId="23ED4FE5" w:rsidR="00CC7264" w:rsidRDefault="004E47E3" w:rsidP="00383841">
      <w:pPr>
        <w:spacing w:beforeLines="50" w:before="120" w:afterLines="50" w:after="120"/>
        <w:jc w:val="both"/>
        <w:rPr>
          <w:rFonts w:eastAsiaTheme="minorEastAsia"/>
          <w:iCs/>
          <w:sz w:val="22"/>
          <w:lang w:val="en-US"/>
        </w:rPr>
      </w:pPr>
      <w:r>
        <w:rPr>
          <w:rFonts w:eastAsiaTheme="minorEastAsia"/>
          <w:iCs/>
          <w:sz w:val="22"/>
          <w:lang w:val="en-US"/>
        </w:rPr>
        <w:t>TR 36.843 defines deployment scenarios as Table A.2.1.1-1</w:t>
      </w:r>
      <w:r w:rsidR="00F56207">
        <w:rPr>
          <w:rFonts w:eastAsiaTheme="minorEastAsia"/>
          <w:iCs/>
          <w:sz w:val="22"/>
          <w:lang w:val="en-US"/>
        </w:rPr>
        <w:t xml:space="preserve">. The table has two columns: general and public safety scenarios. </w:t>
      </w:r>
      <w:r w:rsidR="00746F9F">
        <w:rPr>
          <w:rFonts w:eastAsiaTheme="minorEastAsia"/>
          <w:iCs/>
          <w:sz w:val="22"/>
          <w:lang w:val="en-US"/>
        </w:rPr>
        <w:t xml:space="preserve">Regarding general scenarios, </w:t>
      </w:r>
      <w:r w:rsidR="001F736E">
        <w:rPr>
          <w:rFonts w:eastAsiaTheme="minorEastAsia"/>
          <w:iCs/>
          <w:sz w:val="22"/>
          <w:lang w:val="en-US"/>
        </w:rPr>
        <w:t>the table</w:t>
      </w:r>
      <w:r w:rsidR="00746F9F">
        <w:rPr>
          <w:rFonts w:eastAsiaTheme="minorEastAsia"/>
          <w:iCs/>
          <w:sz w:val="22"/>
          <w:lang w:val="en-US"/>
        </w:rPr>
        <w:t xml:space="preserve"> could be baseline for this WI</w:t>
      </w:r>
      <w:r w:rsidR="00AF58CD">
        <w:rPr>
          <w:rFonts w:eastAsiaTheme="minorEastAsia"/>
          <w:iCs/>
          <w:sz w:val="22"/>
          <w:lang w:val="en-US"/>
        </w:rPr>
        <w:t xml:space="preserve">, </w:t>
      </w:r>
      <w:r w:rsidR="00AF58CD">
        <w:rPr>
          <w:rFonts w:eastAsiaTheme="minorEastAsia"/>
          <w:iCs/>
          <w:sz w:val="22"/>
          <w:lang w:val="en-US"/>
        </w:rPr>
        <w:t>with exceptions of rows for detailed radio configuration which is discussed in the next part</w:t>
      </w:r>
      <w:r w:rsidR="00AF58CD">
        <w:rPr>
          <w:rFonts w:eastAsiaTheme="minorEastAsia"/>
          <w:iCs/>
          <w:sz w:val="22"/>
          <w:lang w:val="en-US"/>
        </w:rPr>
        <w:t>.</w:t>
      </w:r>
      <w:r w:rsidR="00746F9F">
        <w:rPr>
          <w:rFonts w:eastAsiaTheme="minorEastAsia"/>
          <w:iCs/>
          <w:sz w:val="22"/>
          <w:lang w:val="en-US"/>
        </w:rPr>
        <w:t xml:space="preserve"> </w:t>
      </w:r>
      <w:r w:rsidR="00AF58CD">
        <w:rPr>
          <w:rFonts w:eastAsiaTheme="minorEastAsia"/>
          <w:iCs/>
          <w:sz w:val="22"/>
          <w:lang w:val="en-US"/>
        </w:rPr>
        <w:t>Mean</w:t>
      </w:r>
      <w:r w:rsidR="00746F9F">
        <w:rPr>
          <w:rFonts w:eastAsiaTheme="minorEastAsia"/>
          <w:iCs/>
          <w:sz w:val="22"/>
          <w:lang w:val="en-US"/>
        </w:rPr>
        <w:t>while</w:t>
      </w:r>
      <w:r w:rsidR="00AF58CD">
        <w:rPr>
          <w:rFonts w:eastAsiaTheme="minorEastAsia"/>
          <w:iCs/>
          <w:sz w:val="22"/>
          <w:lang w:val="en-US"/>
        </w:rPr>
        <w:t>,</w:t>
      </w:r>
      <w:r w:rsidR="00746F9F">
        <w:rPr>
          <w:rFonts w:eastAsiaTheme="minorEastAsia"/>
          <w:iCs/>
          <w:sz w:val="22"/>
          <w:lang w:val="en-US"/>
        </w:rPr>
        <w:t xml:space="preserve"> some update would be necessary.</w:t>
      </w:r>
      <w:r w:rsidR="00CC7264">
        <w:rPr>
          <w:rFonts w:eastAsiaTheme="minorEastAsia"/>
          <w:iCs/>
          <w:sz w:val="22"/>
          <w:lang w:val="en-US"/>
        </w:rPr>
        <w:t xml:space="preserve"> For example, </w:t>
      </w:r>
    </w:p>
    <w:p w14:paraId="1251AEF5" w14:textId="0799A278" w:rsidR="00CC7264" w:rsidRPr="00BE48D8" w:rsidRDefault="00746F9F" w:rsidP="00BE48D8">
      <w:pPr>
        <w:pStyle w:val="afe"/>
        <w:numPr>
          <w:ilvl w:val="0"/>
          <w:numId w:val="24"/>
        </w:numPr>
        <w:spacing w:beforeLines="50" w:before="120" w:afterLines="50" w:after="120"/>
        <w:ind w:leftChars="0"/>
        <w:jc w:val="both"/>
        <w:rPr>
          <w:rFonts w:eastAsiaTheme="minorEastAsia"/>
          <w:iCs/>
          <w:sz w:val="22"/>
          <w:lang w:val="en-US"/>
        </w:rPr>
      </w:pPr>
      <w:r w:rsidRPr="00BE48D8">
        <w:rPr>
          <w:rFonts w:eastAsiaTheme="minorEastAsia"/>
          <w:iCs/>
          <w:sz w:val="22"/>
          <w:lang w:val="en-US"/>
        </w:rPr>
        <w:t>NR carrier frequency should be targeted</w:t>
      </w:r>
      <w:r w:rsidR="00CC7264" w:rsidRPr="00BE48D8">
        <w:rPr>
          <w:rFonts w:eastAsiaTheme="minorEastAsia"/>
          <w:iCs/>
          <w:sz w:val="22"/>
          <w:lang w:val="en-US"/>
        </w:rPr>
        <w:t xml:space="preserve">. In the table, only 2 GHz is considered </w:t>
      </w:r>
      <w:r w:rsidR="000600F3" w:rsidRPr="00BE48D8">
        <w:rPr>
          <w:rFonts w:eastAsiaTheme="minorEastAsia"/>
          <w:iCs/>
          <w:sz w:val="22"/>
          <w:lang w:val="en-US"/>
        </w:rPr>
        <w:t xml:space="preserve">but NR supports a lot of bands in FR1 as RAN4 defined from Rel-15. Note that this WI targets public safety, V2X (P2V) and commercial use case. </w:t>
      </w:r>
      <w:r w:rsidR="00AF5474" w:rsidRPr="00BE48D8">
        <w:rPr>
          <w:rFonts w:eastAsiaTheme="minorEastAsia"/>
          <w:iCs/>
          <w:sz w:val="22"/>
          <w:lang w:val="en-US"/>
        </w:rPr>
        <w:t>Their assumed frequencies should be considered. For example, ITS spectrum around 5.9 GHz is one of the key targets of V2X service. Commercial use case covers both the same carrier between Uu and SL, and different carriers.</w:t>
      </w:r>
      <w:r w:rsidR="00DC1F6F" w:rsidRPr="00BE48D8">
        <w:rPr>
          <w:rFonts w:eastAsiaTheme="minorEastAsia"/>
          <w:iCs/>
          <w:sz w:val="22"/>
          <w:lang w:val="en-US"/>
        </w:rPr>
        <w:t xml:space="preserve"> In case of the same carrier, e.g. 600/700 MHz and 2/2.5/3.5/4.5 GHz would be possible in consideration of the current NR service around the world. </w:t>
      </w:r>
      <w:r w:rsidR="0044317D" w:rsidRPr="00BE48D8">
        <w:rPr>
          <w:rFonts w:eastAsiaTheme="minorEastAsia"/>
          <w:iCs/>
          <w:sz w:val="22"/>
          <w:lang w:val="en-US"/>
        </w:rPr>
        <w:t xml:space="preserve">FR2 could be considered but even if so, it should be an optional target since NR-SL </w:t>
      </w:r>
      <w:r w:rsidR="00E76BF0" w:rsidRPr="00BE48D8">
        <w:rPr>
          <w:rFonts w:eastAsiaTheme="minorEastAsia"/>
          <w:iCs/>
          <w:sz w:val="22"/>
          <w:lang w:val="en-US"/>
        </w:rPr>
        <w:t xml:space="preserve">Rel-16 </w:t>
      </w:r>
      <w:r w:rsidR="0044317D" w:rsidRPr="00BE48D8">
        <w:rPr>
          <w:rFonts w:eastAsiaTheme="minorEastAsia"/>
          <w:iCs/>
          <w:sz w:val="22"/>
          <w:lang w:val="en-US"/>
        </w:rPr>
        <w:t>is not completely standardized</w:t>
      </w:r>
      <w:r w:rsidR="00AF58CD">
        <w:rPr>
          <w:rFonts w:eastAsiaTheme="minorEastAsia"/>
          <w:iCs/>
          <w:sz w:val="22"/>
          <w:lang w:val="en-US"/>
        </w:rPr>
        <w:t>; e.g. beam management</w:t>
      </w:r>
      <w:r w:rsidR="0044317D" w:rsidRPr="00BE48D8">
        <w:rPr>
          <w:rFonts w:eastAsiaTheme="minorEastAsia"/>
          <w:iCs/>
          <w:sz w:val="22"/>
          <w:lang w:val="en-US"/>
        </w:rPr>
        <w:t xml:space="preserve">. </w:t>
      </w:r>
    </w:p>
    <w:p w14:paraId="30AD5ADB" w14:textId="160B9A73" w:rsidR="00233E60" w:rsidRPr="00BE48D8" w:rsidRDefault="00F66393" w:rsidP="00BE48D8">
      <w:pPr>
        <w:pStyle w:val="afe"/>
        <w:numPr>
          <w:ilvl w:val="0"/>
          <w:numId w:val="24"/>
        </w:numPr>
        <w:spacing w:beforeLines="50" w:before="120" w:afterLines="50" w:after="120"/>
        <w:ind w:leftChars="0"/>
        <w:jc w:val="both"/>
        <w:rPr>
          <w:rFonts w:eastAsiaTheme="minorEastAsia"/>
          <w:iCs/>
          <w:sz w:val="22"/>
          <w:lang w:val="en-US"/>
        </w:rPr>
      </w:pPr>
      <w:r w:rsidRPr="00BE48D8">
        <w:rPr>
          <w:rFonts w:eastAsiaTheme="minorEastAsia"/>
          <w:iCs/>
          <w:sz w:val="22"/>
          <w:lang w:val="en-US"/>
        </w:rPr>
        <w:t>O</w:t>
      </w:r>
      <w:r w:rsidR="00232FCD" w:rsidRPr="00BE48D8">
        <w:rPr>
          <w:rFonts w:eastAsiaTheme="minorEastAsia"/>
          <w:iCs/>
          <w:sz w:val="22"/>
          <w:lang w:val="en-US"/>
        </w:rPr>
        <w:t>ut-of-coverage should be considered as well as in-coverage case.</w:t>
      </w:r>
      <w:r w:rsidR="00D672CA" w:rsidRPr="00BE48D8">
        <w:rPr>
          <w:rFonts w:eastAsiaTheme="minorEastAsia"/>
          <w:iCs/>
          <w:sz w:val="22"/>
          <w:lang w:val="en-US"/>
        </w:rPr>
        <w:t xml:space="preserve"> As abovementioned, V2X (P2V) scenario is considered as well. V2X service is assumed with both in-coverage and out-of-coverage. Therefore, to evaluate only in-coverage scenario is not sufficient.</w:t>
      </w:r>
    </w:p>
    <w:p w14:paraId="727EEDDE" w14:textId="57BD1FC3" w:rsidR="00D672CA" w:rsidRDefault="00D672CA" w:rsidP="00BE48D8">
      <w:pPr>
        <w:pStyle w:val="afe"/>
        <w:numPr>
          <w:ilvl w:val="0"/>
          <w:numId w:val="24"/>
        </w:numPr>
        <w:spacing w:beforeLines="50" w:before="120" w:afterLines="50" w:after="120"/>
        <w:ind w:leftChars="0"/>
        <w:jc w:val="both"/>
        <w:rPr>
          <w:rFonts w:eastAsiaTheme="minorEastAsia"/>
          <w:iCs/>
          <w:sz w:val="22"/>
          <w:lang w:val="en-US"/>
        </w:rPr>
      </w:pPr>
      <w:r w:rsidRPr="00BE48D8">
        <w:rPr>
          <w:rFonts w:eastAsiaTheme="minorEastAsia"/>
          <w:iCs/>
          <w:sz w:val="22"/>
          <w:lang w:val="en-US"/>
        </w:rPr>
        <w:t xml:space="preserve">It would be valid that UE mobility assumption is updated. For V2X scenario, 3 km/h is OK for P-UE but V-UE moves with </w:t>
      </w:r>
      <w:r w:rsidR="002D5E50" w:rsidRPr="00BE48D8">
        <w:rPr>
          <w:rFonts w:eastAsiaTheme="minorEastAsia"/>
          <w:iCs/>
          <w:sz w:val="22"/>
          <w:lang w:val="en-US"/>
        </w:rPr>
        <w:t>higher</w:t>
      </w:r>
      <w:r w:rsidRPr="00BE48D8">
        <w:rPr>
          <w:rFonts w:eastAsiaTheme="minorEastAsia"/>
          <w:iCs/>
          <w:sz w:val="22"/>
          <w:lang w:val="en-US"/>
        </w:rPr>
        <w:t xml:space="preserve"> speed.</w:t>
      </w:r>
      <w:r w:rsidR="00133671">
        <w:rPr>
          <w:rFonts w:eastAsiaTheme="minorEastAsia"/>
          <w:iCs/>
          <w:sz w:val="22"/>
          <w:lang w:val="en-US"/>
        </w:rPr>
        <w:t xml:space="preserve"> Power saving feature is unnecessary for V-UE, while V-UE would be simulated as communication target </w:t>
      </w:r>
      <w:r w:rsidR="00E66D12">
        <w:rPr>
          <w:rFonts w:eastAsiaTheme="minorEastAsia"/>
          <w:iCs/>
          <w:sz w:val="22"/>
          <w:lang w:val="en-US"/>
        </w:rPr>
        <w:t>from P-UE.</w:t>
      </w:r>
    </w:p>
    <w:p w14:paraId="18EECB0B" w14:textId="6CE57CA3" w:rsidR="006C2B12" w:rsidRPr="00463844" w:rsidRDefault="00232FCD" w:rsidP="00383841">
      <w:pPr>
        <w:spacing w:beforeLines="50" w:before="120" w:afterLines="50" w:after="120"/>
        <w:jc w:val="both"/>
        <w:rPr>
          <w:rFonts w:eastAsiaTheme="minorEastAsia"/>
          <w:iCs/>
          <w:sz w:val="22"/>
          <w:lang w:val="en-US"/>
        </w:rPr>
      </w:pPr>
      <w:r>
        <w:rPr>
          <w:rFonts w:eastAsiaTheme="minorEastAsia"/>
          <w:iCs/>
          <w:sz w:val="22"/>
          <w:lang w:val="en-US"/>
        </w:rPr>
        <w:t>Regarding public safety scenarios, whether it needs to be used for this WI or not is unclear. This WI targets V2X (P2V) and commercial use case as well and the outcome should have commonality. In that sense, evaluation only for public safety use case is not good way.</w:t>
      </w:r>
      <w:r w:rsidR="00D672CA">
        <w:rPr>
          <w:rFonts w:eastAsiaTheme="minorEastAsia"/>
          <w:iCs/>
          <w:sz w:val="22"/>
          <w:lang w:val="en-US"/>
        </w:rPr>
        <w:t xml:space="preserve"> </w:t>
      </w:r>
    </w:p>
    <w:p w14:paraId="583E6255" w14:textId="72614FE8" w:rsidR="00495932" w:rsidRPr="00C82FD7" w:rsidRDefault="00495932" w:rsidP="00940F65">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FA0229">
        <w:rPr>
          <w:rFonts w:eastAsiaTheme="minorEastAsia"/>
          <w:b/>
          <w:sz w:val="22"/>
          <w:u w:val="single"/>
        </w:rPr>
        <w:t>1</w:t>
      </w:r>
      <w:r w:rsidRPr="00C82FD7">
        <w:rPr>
          <w:rFonts w:eastAsiaTheme="minorEastAsia" w:hint="eastAsia"/>
          <w:b/>
          <w:sz w:val="22"/>
          <w:u w:val="single"/>
        </w:rPr>
        <w:t>:</w:t>
      </w:r>
    </w:p>
    <w:p w14:paraId="599AB341" w14:textId="1C499A9A" w:rsidR="00FA0229" w:rsidRDefault="00E676B3" w:rsidP="00FA0229">
      <w:pPr>
        <w:numPr>
          <w:ilvl w:val="0"/>
          <w:numId w:val="8"/>
        </w:numPr>
        <w:spacing w:before="50" w:afterLines="50" w:after="120"/>
        <w:jc w:val="both"/>
        <w:rPr>
          <w:rFonts w:eastAsiaTheme="minorEastAsia"/>
          <w:i/>
          <w:sz w:val="22"/>
          <w:lang w:val="en-US"/>
        </w:rPr>
      </w:pPr>
      <w:r>
        <w:rPr>
          <w:rFonts w:eastAsiaTheme="minorEastAsia"/>
          <w:i/>
          <w:sz w:val="22"/>
          <w:lang w:val="en-US"/>
        </w:rPr>
        <w:t>General d</w:t>
      </w:r>
      <w:r>
        <w:rPr>
          <w:rFonts w:eastAsiaTheme="minorEastAsia" w:hint="eastAsia"/>
          <w:i/>
          <w:sz w:val="22"/>
          <w:lang w:val="en-US"/>
        </w:rPr>
        <w:t>eployment scenario</w:t>
      </w:r>
      <w:r>
        <w:rPr>
          <w:rFonts w:eastAsiaTheme="minorEastAsia"/>
          <w:i/>
          <w:sz w:val="22"/>
          <w:lang w:val="en-US"/>
        </w:rPr>
        <w:t xml:space="preserve"> in TR 36.843</w:t>
      </w:r>
      <w:r w:rsidR="004535DD">
        <w:rPr>
          <w:rFonts w:eastAsiaTheme="minorEastAsia"/>
          <w:i/>
          <w:sz w:val="22"/>
          <w:lang w:val="en-US"/>
        </w:rPr>
        <w:t xml:space="preserve"> with exceptions of detailed radio configuration</w:t>
      </w:r>
      <w:r>
        <w:rPr>
          <w:rFonts w:eastAsiaTheme="minorEastAsia"/>
          <w:i/>
          <w:sz w:val="22"/>
          <w:lang w:val="en-US"/>
        </w:rPr>
        <w:t xml:space="preserve"> is baseline and updated about at least the following aspects:</w:t>
      </w:r>
    </w:p>
    <w:p w14:paraId="00150C59" w14:textId="5E126954" w:rsidR="00E676B3" w:rsidRDefault="0083326B" w:rsidP="00E676B3">
      <w:pPr>
        <w:numPr>
          <w:ilvl w:val="1"/>
          <w:numId w:val="8"/>
        </w:numPr>
        <w:spacing w:before="50" w:afterLines="50" w:after="120"/>
        <w:jc w:val="both"/>
        <w:rPr>
          <w:rFonts w:eastAsiaTheme="minorEastAsia"/>
          <w:i/>
          <w:sz w:val="22"/>
          <w:lang w:val="en-US"/>
        </w:rPr>
      </w:pPr>
      <w:r>
        <w:rPr>
          <w:rFonts w:eastAsiaTheme="minorEastAsia"/>
          <w:i/>
          <w:sz w:val="22"/>
          <w:lang w:val="en-US"/>
        </w:rPr>
        <w:t>Carrier frequency: e.g. 5.9 GHz for V2X service and 3.5/4.5 GHz for other use cases.</w:t>
      </w:r>
    </w:p>
    <w:p w14:paraId="035FB55A" w14:textId="579E9C62" w:rsidR="0083326B" w:rsidRDefault="0083326B" w:rsidP="00E676B3">
      <w:pPr>
        <w:numPr>
          <w:ilvl w:val="1"/>
          <w:numId w:val="8"/>
        </w:numPr>
        <w:spacing w:before="50" w:afterLines="50" w:after="120"/>
        <w:jc w:val="both"/>
        <w:rPr>
          <w:rFonts w:eastAsiaTheme="minorEastAsia"/>
          <w:i/>
          <w:sz w:val="22"/>
          <w:lang w:val="en-US"/>
        </w:rPr>
      </w:pPr>
      <w:r>
        <w:rPr>
          <w:rFonts w:eastAsiaTheme="minorEastAsia"/>
          <w:i/>
          <w:sz w:val="22"/>
          <w:lang w:val="en-US"/>
        </w:rPr>
        <w:t>Coverage: Both in-coverage and out-of-coverage</w:t>
      </w:r>
      <w:r w:rsidR="00611F64">
        <w:rPr>
          <w:rFonts w:eastAsiaTheme="minorEastAsia"/>
          <w:i/>
          <w:sz w:val="22"/>
          <w:lang w:val="en-US"/>
        </w:rPr>
        <w:t>.</w:t>
      </w:r>
    </w:p>
    <w:p w14:paraId="56577FC8" w14:textId="64011711" w:rsidR="0083326B" w:rsidRDefault="00F73158" w:rsidP="00E676B3">
      <w:pPr>
        <w:numPr>
          <w:ilvl w:val="1"/>
          <w:numId w:val="8"/>
        </w:numPr>
        <w:spacing w:before="50" w:afterLines="50" w:after="120"/>
        <w:jc w:val="both"/>
        <w:rPr>
          <w:rFonts w:eastAsiaTheme="minorEastAsia"/>
          <w:i/>
          <w:sz w:val="22"/>
          <w:lang w:val="en-US"/>
        </w:rPr>
      </w:pPr>
      <w:r>
        <w:rPr>
          <w:rFonts w:eastAsiaTheme="minorEastAsia" w:hint="eastAsia"/>
          <w:i/>
          <w:sz w:val="22"/>
          <w:lang w:val="en-US"/>
        </w:rPr>
        <w:t>UE mobility: higher speed for V2X service.</w:t>
      </w:r>
    </w:p>
    <w:p w14:paraId="18DEDC97" w14:textId="148A49C1" w:rsidR="00D9517A" w:rsidRDefault="00D9517A" w:rsidP="00D9517A">
      <w:pPr>
        <w:numPr>
          <w:ilvl w:val="0"/>
          <w:numId w:val="8"/>
        </w:numPr>
        <w:spacing w:before="50" w:afterLines="50" w:after="120"/>
        <w:jc w:val="both"/>
        <w:rPr>
          <w:rFonts w:eastAsiaTheme="minorEastAsia"/>
          <w:i/>
          <w:sz w:val="22"/>
          <w:lang w:val="en-US"/>
        </w:rPr>
      </w:pPr>
      <w:r>
        <w:rPr>
          <w:rFonts w:eastAsiaTheme="minorEastAsia"/>
          <w:i/>
          <w:sz w:val="22"/>
          <w:lang w:val="en-US"/>
        </w:rPr>
        <w:t>Whether dedicated deployment scenario is decided or not should be discussed.</w:t>
      </w:r>
    </w:p>
    <w:p w14:paraId="183C359A" w14:textId="47F73CC3" w:rsidR="00D9517A" w:rsidRDefault="00D9517A" w:rsidP="00D9517A">
      <w:pPr>
        <w:numPr>
          <w:ilvl w:val="1"/>
          <w:numId w:val="8"/>
        </w:numPr>
        <w:spacing w:before="50" w:afterLines="50" w:after="120"/>
        <w:jc w:val="both"/>
        <w:rPr>
          <w:rFonts w:eastAsiaTheme="minorEastAsia"/>
          <w:i/>
          <w:sz w:val="22"/>
          <w:lang w:val="en-US"/>
        </w:rPr>
      </w:pPr>
      <w:r>
        <w:rPr>
          <w:rFonts w:eastAsiaTheme="minorEastAsia"/>
          <w:i/>
          <w:sz w:val="22"/>
          <w:lang w:val="en-US"/>
        </w:rPr>
        <w:t xml:space="preserve">Note: </w:t>
      </w:r>
      <w:r w:rsidR="00337943">
        <w:rPr>
          <w:rFonts w:eastAsiaTheme="minorEastAsia"/>
          <w:i/>
          <w:sz w:val="22"/>
          <w:lang w:val="en-US"/>
        </w:rPr>
        <w:t xml:space="preserve">this </w:t>
      </w:r>
      <w:r>
        <w:rPr>
          <w:rFonts w:eastAsiaTheme="minorEastAsia"/>
          <w:i/>
          <w:sz w:val="22"/>
          <w:lang w:val="en-US"/>
        </w:rPr>
        <w:t>WI aims to maximum commonality between targeted use cases</w:t>
      </w:r>
      <w:r w:rsidR="00AF2480">
        <w:rPr>
          <w:rFonts w:eastAsiaTheme="minorEastAsia"/>
          <w:i/>
          <w:sz w:val="22"/>
          <w:lang w:val="en-US"/>
        </w:rPr>
        <w:t>.</w:t>
      </w:r>
    </w:p>
    <w:p w14:paraId="3E474EBE" w14:textId="77777777" w:rsidR="001D361F" w:rsidRPr="001D361F" w:rsidRDefault="001D361F" w:rsidP="00611F64">
      <w:pPr>
        <w:spacing w:before="50" w:afterLines="50" w:after="120"/>
        <w:jc w:val="both"/>
        <w:rPr>
          <w:rFonts w:eastAsiaTheme="minorEastAsia"/>
          <w:sz w:val="22"/>
          <w:u w:val="single"/>
          <w:lang w:val="en-US"/>
        </w:rPr>
      </w:pPr>
      <w:r w:rsidRPr="001D361F">
        <w:rPr>
          <w:rFonts w:eastAsiaTheme="minorEastAsia"/>
          <w:sz w:val="22"/>
          <w:u w:val="single"/>
          <w:lang w:val="en-US"/>
        </w:rPr>
        <w:lastRenderedPageBreak/>
        <w:t>D</w:t>
      </w:r>
      <w:r w:rsidR="00D9517A" w:rsidRPr="001D361F">
        <w:rPr>
          <w:rFonts w:eastAsiaTheme="minorEastAsia" w:hint="eastAsia"/>
          <w:sz w:val="22"/>
          <w:u w:val="single"/>
          <w:lang w:val="en-US"/>
        </w:rPr>
        <w:t>etailed configuration</w:t>
      </w:r>
    </w:p>
    <w:p w14:paraId="685D3FD9" w14:textId="11620FF1" w:rsidR="00623F7A" w:rsidRDefault="00344C15" w:rsidP="00B011C1">
      <w:pPr>
        <w:spacing w:before="50" w:afterLines="50" w:after="120"/>
        <w:jc w:val="both"/>
        <w:rPr>
          <w:rFonts w:eastAsiaTheme="minorEastAsia"/>
          <w:sz w:val="22"/>
          <w:lang w:val="en-US"/>
        </w:rPr>
      </w:pPr>
      <w:r>
        <w:rPr>
          <w:rFonts w:eastAsiaTheme="minorEastAsia"/>
          <w:sz w:val="22"/>
          <w:lang w:val="en-US"/>
        </w:rPr>
        <w:t xml:space="preserve">In TR 38.840, reference configuration for FR1 is summarized as </w:t>
      </w:r>
      <w:r w:rsidR="00B011C1">
        <w:rPr>
          <w:rFonts w:eastAsiaTheme="minorEastAsia"/>
          <w:sz w:val="22"/>
          <w:lang w:val="en-US"/>
        </w:rPr>
        <w:t>table 1</w:t>
      </w:r>
      <w:r>
        <w:rPr>
          <w:rFonts w:eastAsiaTheme="minorEastAsia"/>
          <w:sz w:val="22"/>
          <w:lang w:val="en-US"/>
        </w:rPr>
        <w:t>.</w:t>
      </w:r>
      <w:r w:rsidR="005032D7">
        <w:rPr>
          <w:rFonts w:eastAsiaTheme="minorEastAsia"/>
          <w:sz w:val="22"/>
          <w:lang w:val="en-US"/>
        </w:rPr>
        <w:t xml:space="preserve"> Detailed co</w:t>
      </w:r>
      <w:r w:rsidR="00623F7A">
        <w:rPr>
          <w:rFonts w:eastAsiaTheme="minorEastAsia"/>
          <w:sz w:val="22"/>
          <w:lang w:val="en-US"/>
        </w:rPr>
        <w:t>nfiguration</w:t>
      </w:r>
      <w:r w:rsidR="00E26B46">
        <w:rPr>
          <w:rFonts w:eastAsiaTheme="minorEastAsia"/>
          <w:sz w:val="22"/>
          <w:lang w:val="en-US"/>
        </w:rPr>
        <w:t xml:space="preserve"> for NR-SL</w:t>
      </w:r>
      <w:r w:rsidR="00623F7A">
        <w:rPr>
          <w:rFonts w:eastAsiaTheme="minorEastAsia"/>
          <w:sz w:val="22"/>
          <w:lang w:val="en-US"/>
        </w:rPr>
        <w:t xml:space="preserve"> can be discussed with the table</w:t>
      </w:r>
      <w:r w:rsidR="00B011C1">
        <w:rPr>
          <w:rFonts w:eastAsiaTheme="minorEastAsia"/>
          <w:sz w:val="22"/>
          <w:lang w:val="en-US"/>
        </w:rPr>
        <w:t xml:space="preserve"> 1</w:t>
      </w:r>
      <w:r w:rsidR="00623F7A">
        <w:rPr>
          <w:rFonts w:eastAsiaTheme="minorEastAsia"/>
          <w:sz w:val="22"/>
          <w:lang w:val="en-US"/>
        </w:rPr>
        <w:t xml:space="preserve"> as a reference.</w:t>
      </w:r>
      <w:r w:rsidR="00B011C1">
        <w:rPr>
          <w:rFonts w:eastAsiaTheme="minorEastAsia"/>
          <w:sz w:val="22"/>
          <w:lang w:val="en-US"/>
        </w:rPr>
        <w:t xml:space="preserve"> Table 2 summarizes the following bullets.</w:t>
      </w:r>
    </w:p>
    <w:p w14:paraId="266133BB" w14:textId="77777777" w:rsidR="00623F7A" w:rsidRDefault="00BF7CCC" w:rsidP="00623F7A">
      <w:pPr>
        <w:pStyle w:val="afe"/>
        <w:numPr>
          <w:ilvl w:val="0"/>
          <w:numId w:val="26"/>
        </w:numPr>
        <w:spacing w:beforeLines="50" w:before="120" w:afterLines="50" w:after="120"/>
        <w:ind w:leftChars="0"/>
        <w:jc w:val="both"/>
        <w:rPr>
          <w:rFonts w:eastAsiaTheme="minorEastAsia"/>
          <w:sz w:val="22"/>
          <w:lang w:val="en-US"/>
        </w:rPr>
      </w:pPr>
      <w:r w:rsidRPr="00623F7A">
        <w:rPr>
          <w:rFonts w:eastAsiaTheme="minorEastAsia"/>
          <w:sz w:val="22"/>
          <w:lang w:val="en-US"/>
        </w:rPr>
        <w:t>For SCS and the number of carriers, the same configuration should be used; i.e. SCS = 30 kHz, 1 CC.</w:t>
      </w:r>
    </w:p>
    <w:p w14:paraId="676E22D7" w14:textId="4799733E" w:rsidR="00940F65" w:rsidRDefault="00BF7CCC" w:rsidP="00623F7A">
      <w:pPr>
        <w:pStyle w:val="afe"/>
        <w:numPr>
          <w:ilvl w:val="0"/>
          <w:numId w:val="26"/>
        </w:numPr>
        <w:spacing w:beforeLines="50" w:before="120" w:afterLines="50" w:after="120"/>
        <w:ind w:leftChars="0"/>
        <w:jc w:val="both"/>
        <w:rPr>
          <w:rFonts w:eastAsiaTheme="minorEastAsia"/>
          <w:sz w:val="22"/>
          <w:lang w:val="en-US"/>
        </w:rPr>
      </w:pPr>
      <w:r w:rsidRPr="00623F7A">
        <w:rPr>
          <w:rFonts w:eastAsiaTheme="minorEastAsia"/>
          <w:sz w:val="22"/>
          <w:lang w:val="en-US"/>
        </w:rPr>
        <w:t xml:space="preserve">Regarding system bandwidth, </w:t>
      </w:r>
      <w:r w:rsidR="00CA5B89" w:rsidRPr="00623F7A">
        <w:rPr>
          <w:rFonts w:eastAsiaTheme="minorEastAsia"/>
          <w:sz w:val="22"/>
          <w:lang w:val="en-US"/>
        </w:rPr>
        <w:t>it seems that narrower bandwidth should be considered since</w:t>
      </w:r>
      <w:r w:rsidR="005032D7" w:rsidRPr="00623F7A">
        <w:rPr>
          <w:rFonts w:eastAsiaTheme="minorEastAsia"/>
          <w:sz w:val="22"/>
          <w:lang w:val="en-US"/>
        </w:rPr>
        <w:t xml:space="preserve"> some of assumed use cases would not require to support such wide bandwidth.</w:t>
      </w:r>
    </w:p>
    <w:p w14:paraId="64E6EC7C" w14:textId="5C112687" w:rsidR="00623F7A" w:rsidRDefault="003B5EF5" w:rsidP="00623F7A">
      <w:pPr>
        <w:pStyle w:val="afe"/>
        <w:numPr>
          <w:ilvl w:val="0"/>
          <w:numId w:val="26"/>
        </w:numPr>
        <w:spacing w:beforeLines="50" w:before="120" w:afterLines="50" w:after="120"/>
        <w:ind w:leftChars="0"/>
        <w:jc w:val="both"/>
        <w:rPr>
          <w:rFonts w:eastAsiaTheme="minorEastAsia"/>
          <w:sz w:val="22"/>
          <w:lang w:val="en-US"/>
        </w:rPr>
      </w:pPr>
      <w:r>
        <w:rPr>
          <w:rFonts w:eastAsiaTheme="minorEastAsia"/>
          <w:sz w:val="22"/>
          <w:lang w:val="en-US"/>
        </w:rPr>
        <w:t xml:space="preserve">Instead of PDCCH config/decoding, let us define PSCCH config/decoding requirement. </w:t>
      </w:r>
      <w:r w:rsidR="00AA3095">
        <w:rPr>
          <w:rFonts w:eastAsiaTheme="minorEastAsia"/>
          <w:sz w:val="22"/>
          <w:lang w:val="en-US"/>
        </w:rPr>
        <w:t>PSCCH can be 2 or 3 symbols based on Rel-16 NR-SL</w:t>
      </w:r>
      <w:r w:rsidR="003F27B6">
        <w:rPr>
          <w:rFonts w:eastAsiaTheme="minorEastAsia"/>
          <w:sz w:val="22"/>
          <w:lang w:val="en-US"/>
        </w:rPr>
        <w:t xml:space="preserve">; </w:t>
      </w:r>
      <w:r w:rsidR="0076112B">
        <w:rPr>
          <w:rFonts w:eastAsiaTheme="minorEastAsia"/>
          <w:sz w:val="22"/>
          <w:lang w:val="en-US"/>
        </w:rPr>
        <w:t xml:space="preserve">thereby either length is used. PSCCH is blindly decoded for each sub-channels, in that sense, </w:t>
      </w:r>
      <w:r w:rsidR="00977278">
        <w:rPr>
          <w:rFonts w:eastAsiaTheme="minorEastAsia"/>
          <w:sz w:val="22"/>
          <w:lang w:val="en-US"/>
        </w:rPr>
        <w:t>number of sub-channels should be decided here.</w:t>
      </w:r>
      <w:r w:rsidR="00E33FBF">
        <w:rPr>
          <w:rFonts w:eastAsiaTheme="minorEastAsia"/>
          <w:sz w:val="22"/>
          <w:lang w:val="en-US"/>
        </w:rPr>
        <w:t xml:space="preserve"> PSCCH is transmitted with associated PSSCH at the same slot. There is no need to consider K0-like parameter.</w:t>
      </w:r>
    </w:p>
    <w:p w14:paraId="4B123C2E" w14:textId="63ADBAA6" w:rsidR="00A62604" w:rsidRDefault="007A160A" w:rsidP="00A62604">
      <w:pPr>
        <w:pStyle w:val="afe"/>
        <w:numPr>
          <w:ilvl w:val="0"/>
          <w:numId w:val="26"/>
        </w:numPr>
        <w:spacing w:beforeLines="50" w:before="120" w:afterLines="50" w:after="120"/>
        <w:ind w:leftChars="0"/>
        <w:jc w:val="both"/>
        <w:rPr>
          <w:rFonts w:eastAsiaTheme="minorEastAsia"/>
          <w:sz w:val="22"/>
          <w:lang w:val="en-US"/>
        </w:rPr>
      </w:pPr>
      <w:r>
        <w:rPr>
          <w:rFonts w:eastAsiaTheme="minorEastAsia" w:hint="eastAsia"/>
          <w:sz w:val="22"/>
          <w:lang w:val="en-US"/>
        </w:rPr>
        <w:t xml:space="preserve">Regarding PSSCH config, </w:t>
      </w:r>
      <w:r w:rsidR="009379E4">
        <w:rPr>
          <w:rFonts w:eastAsiaTheme="minorEastAsia"/>
          <w:sz w:val="22"/>
          <w:lang w:val="en-US"/>
        </w:rPr>
        <w:t>256</w:t>
      </w:r>
      <w:r>
        <w:rPr>
          <w:rFonts w:eastAsiaTheme="minorEastAsia"/>
          <w:sz w:val="22"/>
          <w:lang w:val="en-US"/>
        </w:rPr>
        <w:t xml:space="preserve"> QAM </w:t>
      </w:r>
      <w:r w:rsidR="00A62604">
        <w:rPr>
          <w:rFonts w:eastAsiaTheme="minorEastAsia"/>
          <w:sz w:val="22"/>
          <w:lang w:val="en-US"/>
        </w:rPr>
        <w:t>should</w:t>
      </w:r>
      <w:r w:rsidR="009379E4">
        <w:rPr>
          <w:rFonts w:eastAsiaTheme="minorEastAsia"/>
          <w:sz w:val="22"/>
          <w:lang w:val="en-US"/>
        </w:rPr>
        <w:t xml:space="preserve"> be simulated as NR-Uu. MIMO configuration should be 2</w:t>
      </w:r>
      <w:r w:rsidR="00965D2D">
        <w:rPr>
          <w:rFonts w:eastAsiaTheme="minorEastAsia"/>
          <w:sz w:val="22"/>
          <w:lang w:val="en-US"/>
        </w:rPr>
        <w:t xml:space="preserve">-layer, which is the maximum number in NR-SL. Accordingly, </w:t>
      </w:r>
      <w:r w:rsidR="00E24B19">
        <w:rPr>
          <w:rFonts w:eastAsiaTheme="minorEastAsia"/>
          <w:sz w:val="22"/>
          <w:lang w:val="en-US"/>
        </w:rPr>
        <w:t>2 TX antennas and</w:t>
      </w:r>
      <w:r w:rsidR="00464624">
        <w:rPr>
          <w:rFonts w:eastAsiaTheme="minorEastAsia"/>
          <w:sz w:val="22"/>
          <w:lang w:val="en-US"/>
        </w:rPr>
        <w:t xml:space="preserve"> at least</w:t>
      </w:r>
      <w:r w:rsidR="00E24B19">
        <w:rPr>
          <w:rFonts w:eastAsiaTheme="minorEastAsia"/>
          <w:sz w:val="22"/>
          <w:lang w:val="en-US"/>
        </w:rPr>
        <w:t xml:space="preserve"> </w:t>
      </w:r>
      <w:r w:rsidR="00965D2D">
        <w:rPr>
          <w:rFonts w:eastAsiaTheme="minorEastAsia"/>
          <w:sz w:val="22"/>
          <w:lang w:val="en-US"/>
        </w:rPr>
        <w:t>2 RX antennas are needed.</w:t>
      </w:r>
      <w:r w:rsidR="00E24B19">
        <w:rPr>
          <w:rFonts w:eastAsiaTheme="minorEastAsia"/>
          <w:sz w:val="22"/>
          <w:lang w:val="en-US"/>
        </w:rPr>
        <w:t xml:space="preserve"> </w:t>
      </w:r>
      <w:r w:rsidR="00AF58EE">
        <w:rPr>
          <w:rFonts w:eastAsiaTheme="minorEastAsia"/>
          <w:sz w:val="22"/>
          <w:lang w:val="en-US"/>
        </w:rPr>
        <w:t xml:space="preserve">Tx power would be 23 </w:t>
      </w:r>
      <w:proofErr w:type="spellStart"/>
      <w:r w:rsidR="00AF58EE">
        <w:rPr>
          <w:rFonts w:eastAsiaTheme="minorEastAsia"/>
          <w:sz w:val="22"/>
          <w:lang w:val="en-US"/>
        </w:rPr>
        <w:t>dBm</w:t>
      </w:r>
      <w:proofErr w:type="spellEnd"/>
      <w:r w:rsidR="00AF58EE">
        <w:rPr>
          <w:rFonts w:eastAsiaTheme="minorEastAsia"/>
          <w:sz w:val="22"/>
          <w:lang w:val="en-US"/>
        </w:rPr>
        <w:t>. It is noted that, these are parameters for max data rate.</w:t>
      </w:r>
    </w:p>
    <w:p w14:paraId="3A500074" w14:textId="77777777" w:rsidR="00B011C1" w:rsidRDefault="00B011C1" w:rsidP="00B011C1">
      <w:pPr>
        <w:spacing w:before="50" w:afterLines="50" w:after="120"/>
        <w:jc w:val="center"/>
        <w:rPr>
          <w:rFonts w:eastAsiaTheme="minorEastAsia"/>
          <w:sz w:val="22"/>
          <w:lang w:val="en-US"/>
        </w:rPr>
      </w:pPr>
      <w:r>
        <w:rPr>
          <w:rFonts w:eastAsiaTheme="minorEastAsia"/>
          <w:sz w:val="22"/>
          <w:lang w:val="en-US"/>
        </w:rPr>
        <w:t>Table 1: reference configuration for FR1 in TR 38.840.</w:t>
      </w:r>
    </w:p>
    <w:p w14:paraId="2A2E4426" w14:textId="77777777" w:rsidR="00B011C1" w:rsidRDefault="00B011C1" w:rsidP="00B011C1">
      <w:pPr>
        <w:spacing w:before="50" w:afterLines="50" w:after="120"/>
        <w:jc w:val="center"/>
        <w:rPr>
          <w:rFonts w:eastAsiaTheme="minorEastAsia"/>
          <w:sz w:val="22"/>
          <w:lang w:val="en-US"/>
        </w:rPr>
      </w:pPr>
      <w:r w:rsidRPr="00C81832">
        <w:rPr>
          <w:rFonts w:eastAsiaTheme="minorEastAsia"/>
          <w:noProof/>
          <w:sz w:val="22"/>
          <w:lang w:val="en-US"/>
        </w:rPr>
        <w:drawing>
          <wp:inline distT="0" distB="0" distL="0" distR="0" wp14:anchorId="4BF92FC2" wp14:editId="31AA0A08">
            <wp:extent cx="3648960" cy="2763000"/>
            <wp:effectExtent l="0" t="0" r="8890" b="0"/>
            <wp:docPr id="6"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8"/>
                    <a:stretch>
                      <a:fillRect/>
                    </a:stretch>
                  </pic:blipFill>
                  <pic:spPr>
                    <a:xfrm>
                      <a:off x="0" y="0"/>
                      <a:ext cx="3648960" cy="2763000"/>
                    </a:xfrm>
                    <a:prstGeom prst="rect">
                      <a:avLst/>
                    </a:prstGeom>
                  </pic:spPr>
                </pic:pic>
              </a:graphicData>
            </a:graphic>
          </wp:inline>
        </w:drawing>
      </w:r>
    </w:p>
    <w:p w14:paraId="748ECE5C" w14:textId="64FE3042" w:rsidR="00464624" w:rsidRDefault="00464624" w:rsidP="00464624">
      <w:pPr>
        <w:spacing w:before="50" w:afterLines="50" w:after="120"/>
        <w:jc w:val="center"/>
        <w:rPr>
          <w:rFonts w:eastAsiaTheme="minorEastAsia"/>
          <w:sz w:val="22"/>
          <w:lang w:val="en-US"/>
        </w:rPr>
      </w:pPr>
      <w:r>
        <w:rPr>
          <w:rFonts w:eastAsiaTheme="minorEastAsia"/>
          <w:sz w:val="22"/>
          <w:lang w:val="en-US"/>
        </w:rPr>
        <w:t>Table 2: reference configuration for sidelink.</w:t>
      </w:r>
    </w:p>
    <w:p w14:paraId="258FA1CD" w14:textId="0DC2FA02" w:rsidR="00464624" w:rsidRDefault="00710150" w:rsidP="00464624">
      <w:pPr>
        <w:spacing w:before="50" w:afterLines="50" w:after="120"/>
        <w:jc w:val="center"/>
        <w:rPr>
          <w:rFonts w:eastAsiaTheme="minorEastAsia"/>
          <w:sz w:val="22"/>
          <w:lang w:val="en-US"/>
        </w:rPr>
      </w:pPr>
      <w:r w:rsidRPr="00710150">
        <w:rPr>
          <w:rFonts w:eastAsiaTheme="minorEastAsia"/>
          <w:noProof/>
          <w:sz w:val="22"/>
          <w:lang w:val="en-US"/>
        </w:rPr>
        <w:drawing>
          <wp:inline distT="0" distB="0" distL="0" distR="0" wp14:anchorId="0BFDC7F1" wp14:editId="0BC5E2C8">
            <wp:extent cx="3648960" cy="1740960"/>
            <wp:effectExtent l="0" t="0" r="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9"/>
                    <a:stretch>
                      <a:fillRect/>
                    </a:stretch>
                  </pic:blipFill>
                  <pic:spPr>
                    <a:xfrm>
                      <a:off x="0" y="0"/>
                      <a:ext cx="3648960" cy="1740960"/>
                    </a:xfrm>
                    <a:prstGeom prst="rect">
                      <a:avLst/>
                    </a:prstGeom>
                  </pic:spPr>
                </pic:pic>
              </a:graphicData>
            </a:graphic>
          </wp:inline>
        </w:drawing>
      </w:r>
    </w:p>
    <w:p w14:paraId="4813B76B" w14:textId="5B3C8B98" w:rsidR="00710150" w:rsidRPr="00C82FD7" w:rsidRDefault="00710150" w:rsidP="00710150">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574F79D" w14:textId="77777777" w:rsidR="00710150" w:rsidRPr="00710150" w:rsidRDefault="00710150" w:rsidP="00481CB1">
      <w:pPr>
        <w:numPr>
          <w:ilvl w:val="0"/>
          <w:numId w:val="8"/>
        </w:numPr>
        <w:spacing w:before="50" w:afterLines="50" w:after="120"/>
        <w:jc w:val="both"/>
        <w:rPr>
          <w:rFonts w:eastAsiaTheme="minorEastAsia"/>
          <w:i/>
          <w:sz w:val="22"/>
          <w:lang w:val="en-US"/>
        </w:rPr>
      </w:pPr>
      <w:r w:rsidRPr="00710150">
        <w:rPr>
          <w:rFonts w:eastAsiaTheme="minorEastAsia"/>
          <w:i/>
          <w:sz w:val="22"/>
          <w:lang w:val="en-US"/>
        </w:rPr>
        <w:t>Detailed radio configuration in TR 38.840 is baseline and updated about at least the following aspects:</w:t>
      </w:r>
    </w:p>
    <w:p w14:paraId="37707131" w14:textId="7FE69D26" w:rsidR="00710150" w:rsidRDefault="00710150" w:rsidP="00710150">
      <w:pPr>
        <w:numPr>
          <w:ilvl w:val="1"/>
          <w:numId w:val="8"/>
        </w:numPr>
        <w:spacing w:before="50" w:afterLines="50" w:after="120"/>
        <w:jc w:val="both"/>
        <w:rPr>
          <w:rFonts w:eastAsiaTheme="minorEastAsia"/>
          <w:i/>
          <w:sz w:val="22"/>
          <w:lang w:val="en-US"/>
        </w:rPr>
      </w:pPr>
      <w:r>
        <w:rPr>
          <w:rFonts w:eastAsiaTheme="minorEastAsia" w:hint="eastAsia"/>
          <w:i/>
          <w:sz w:val="22"/>
          <w:lang w:val="en-US"/>
        </w:rPr>
        <w:t xml:space="preserve">System bandwidth: narrower bandwidth could be </w:t>
      </w:r>
      <w:r>
        <w:rPr>
          <w:rFonts w:eastAsiaTheme="minorEastAsia"/>
          <w:i/>
          <w:sz w:val="22"/>
          <w:lang w:val="en-US"/>
        </w:rPr>
        <w:t>more valid.</w:t>
      </w:r>
    </w:p>
    <w:p w14:paraId="4D27BC48" w14:textId="363DFFB1" w:rsidR="00710150" w:rsidRDefault="00710150" w:rsidP="00710150">
      <w:pPr>
        <w:numPr>
          <w:ilvl w:val="1"/>
          <w:numId w:val="8"/>
        </w:numPr>
        <w:spacing w:before="50" w:afterLines="50" w:after="120"/>
        <w:jc w:val="both"/>
        <w:rPr>
          <w:rFonts w:eastAsiaTheme="minorEastAsia"/>
          <w:i/>
          <w:sz w:val="22"/>
          <w:lang w:val="en-US"/>
        </w:rPr>
      </w:pPr>
      <w:r>
        <w:rPr>
          <w:rFonts w:eastAsiaTheme="minorEastAsia"/>
          <w:i/>
          <w:sz w:val="22"/>
          <w:lang w:val="en-US"/>
        </w:rPr>
        <w:t>Number of sub-channels: this should be considered for the number of PSCCH blind decoding.</w:t>
      </w:r>
    </w:p>
    <w:p w14:paraId="0386FECC" w14:textId="510D7602" w:rsidR="00710150" w:rsidRDefault="00710150" w:rsidP="00710150">
      <w:pPr>
        <w:numPr>
          <w:ilvl w:val="1"/>
          <w:numId w:val="8"/>
        </w:numPr>
        <w:spacing w:before="50" w:afterLines="50" w:after="120"/>
        <w:jc w:val="both"/>
        <w:rPr>
          <w:rFonts w:eastAsiaTheme="minorEastAsia"/>
          <w:i/>
          <w:sz w:val="22"/>
          <w:lang w:val="en-US"/>
        </w:rPr>
      </w:pPr>
      <w:r>
        <w:rPr>
          <w:rFonts w:eastAsiaTheme="minorEastAsia" w:hint="eastAsia"/>
          <w:i/>
          <w:sz w:val="22"/>
          <w:lang w:val="en-US"/>
        </w:rPr>
        <w:t>MIMO: max 2 layers</w:t>
      </w:r>
      <w:r w:rsidR="000B5703">
        <w:rPr>
          <w:rFonts w:eastAsiaTheme="minorEastAsia"/>
          <w:i/>
          <w:sz w:val="22"/>
          <w:lang w:val="en-US"/>
        </w:rPr>
        <w:t>.</w:t>
      </w:r>
    </w:p>
    <w:p w14:paraId="3378AAD8" w14:textId="77777777" w:rsidR="00E26B46" w:rsidRDefault="000B5703" w:rsidP="00AF58EE">
      <w:pPr>
        <w:spacing w:beforeLines="50" w:before="120" w:afterLines="50" w:after="120"/>
        <w:ind w:left="57"/>
        <w:jc w:val="both"/>
        <w:rPr>
          <w:rFonts w:eastAsiaTheme="minorEastAsia"/>
          <w:sz w:val="22"/>
          <w:lang w:val="en-US"/>
        </w:rPr>
      </w:pPr>
      <w:r w:rsidRPr="00E26B46">
        <w:rPr>
          <w:rFonts w:eastAsiaTheme="minorEastAsia" w:hint="eastAsia"/>
          <w:sz w:val="22"/>
          <w:u w:val="single"/>
          <w:lang w:val="en-US"/>
        </w:rPr>
        <w:lastRenderedPageBreak/>
        <w:t>UE power consumption model</w:t>
      </w:r>
    </w:p>
    <w:p w14:paraId="79BA3392" w14:textId="48DB47B6" w:rsidR="00710150" w:rsidRDefault="000B5703" w:rsidP="00AF58EE">
      <w:pPr>
        <w:spacing w:beforeLines="50" w:before="120" w:afterLines="50" w:after="120"/>
        <w:ind w:left="57"/>
        <w:jc w:val="both"/>
        <w:rPr>
          <w:rFonts w:eastAsiaTheme="minorEastAsia"/>
          <w:sz w:val="22"/>
          <w:lang w:val="en-US"/>
        </w:rPr>
      </w:pPr>
      <w:r>
        <w:rPr>
          <w:rFonts w:eastAsiaTheme="minorEastAsia"/>
          <w:sz w:val="22"/>
          <w:lang w:val="en-US"/>
        </w:rPr>
        <w:t xml:space="preserve">In TR 36.843 and TR 38.840, </w:t>
      </w:r>
      <w:r w:rsidR="00D15038">
        <w:rPr>
          <w:rFonts w:eastAsiaTheme="minorEastAsia"/>
          <w:sz w:val="22"/>
          <w:lang w:val="en-US"/>
        </w:rPr>
        <w:t xml:space="preserve">power consumption model is defined as </w:t>
      </w:r>
      <w:r w:rsidR="00440DF6">
        <w:rPr>
          <w:rFonts w:eastAsiaTheme="minorEastAsia"/>
          <w:sz w:val="22"/>
          <w:lang w:val="en-US"/>
        </w:rPr>
        <w:t>table 3</w:t>
      </w:r>
      <w:r w:rsidR="00D15038">
        <w:rPr>
          <w:rFonts w:eastAsiaTheme="minorEastAsia"/>
          <w:sz w:val="22"/>
          <w:lang w:val="en-US"/>
        </w:rPr>
        <w:t>.</w:t>
      </w:r>
      <w:r w:rsidR="00440DF6">
        <w:rPr>
          <w:rFonts w:eastAsiaTheme="minorEastAsia"/>
          <w:sz w:val="22"/>
          <w:lang w:val="en-US"/>
        </w:rPr>
        <w:t xml:space="preserve"> </w:t>
      </w:r>
      <w:r w:rsidR="00011885">
        <w:rPr>
          <w:rFonts w:eastAsiaTheme="minorEastAsia" w:hint="eastAsia"/>
          <w:sz w:val="22"/>
          <w:lang w:val="en-US"/>
        </w:rPr>
        <w:t xml:space="preserve">To evaluate sidelink power saving, the following </w:t>
      </w:r>
      <w:r w:rsidR="00011885">
        <w:rPr>
          <w:rFonts w:eastAsiaTheme="minorEastAsia"/>
          <w:sz w:val="22"/>
          <w:lang w:val="en-US"/>
        </w:rPr>
        <w:t>aspect</w:t>
      </w:r>
      <w:r w:rsidR="00FD6748">
        <w:rPr>
          <w:rFonts w:eastAsiaTheme="minorEastAsia"/>
          <w:sz w:val="22"/>
          <w:lang w:val="en-US"/>
        </w:rPr>
        <w:t>s</w:t>
      </w:r>
      <w:r w:rsidR="00011885">
        <w:rPr>
          <w:rFonts w:eastAsiaTheme="minorEastAsia"/>
          <w:sz w:val="22"/>
          <w:lang w:val="en-US"/>
        </w:rPr>
        <w:t xml:space="preserve"> should be discussed.</w:t>
      </w:r>
    </w:p>
    <w:p w14:paraId="2C6344CE" w14:textId="1E2D691E" w:rsidR="00011885" w:rsidRDefault="000A7AE8" w:rsidP="00D8258B">
      <w:pPr>
        <w:pStyle w:val="afe"/>
        <w:numPr>
          <w:ilvl w:val="0"/>
          <w:numId w:val="27"/>
        </w:numPr>
        <w:spacing w:beforeLines="50" w:before="120" w:afterLines="50" w:after="120"/>
        <w:ind w:leftChars="0"/>
        <w:jc w:val="both"/>
        <w:rPr>
          <w:rFonts w:eastAsiaTheme="minorEastAsia"/>
          <w:sz w:val="22"/>
          <w:lang w:val="en-US"/>
        </w:rPr>
      </w:pPr>
      <w:r>
        <w:rPr>
          <w:rFonts w:eastAsiaTheme="minorEastAsia" w:hint="eastAsia"/>
          <w:sz w:val="22"/>
          <w:lang w:val="en-US"/>
        </w:rPr>
        <w:t>Sleep state should follow TR</w:t>
      </w:r>
      <w:r>
        <w:rPr>
          <w:rFonts w:eastAsiaTheme="minorEastAsia"/>
          <w:sz w:val="22"/>
          <w:lang w:val="en-US"/>
        </w:rPr>
        <w:t xml:space="preserve"> 38.840</w:t>
      </w:r>
      <w:r w:rsidR="00D8258B">
        <w:rPr>
          <w:rFonts w:eastAsiaTheme="minorEastAsia"/>
          <w:sz w:val="22"/>
          <w:lang w:val="en-US"/>
        </w:rPr>
        <w:t xml:space="preserve"> since it defines sleep states with </w:t>
      </w:r>
      <w:r w:rsidR="00D8258B" w:rsidRPr="00D8258B">
        <w:rPr>
          <w:rFonts w:eastAsiaTheme="minorEastAsia"/>
          <w:sz w:val="22"/>
          <w:lang w:val="en-US"/>
        </w:rPr>
        <w:t>finer granularity</w:t>
      </w:r>
      <w:r w:rsidR="00D8258B">
        <w:rPr>
          <w:rFonts w:eastAsiaTheme="minorEastAsia"/>
          <w:sz w:val="22"/>
          <w:lang w:val="en-US"/>
        </w:rPr>
        <w:t>. Better evaluation accuracy is expected. The characteristics and relative power can be reused.</w:t>
      </w:r>
    </w:p>
    <w:p w14:paraId="47C2849A" w14:textId="77777777" w:rsidR="00974156" w:rsidRDefault="008148E4" w:rsidP="00D8258B">
      <w:pPr>
        <w:pStyle w:val="afe"/>
        <w:numPr>
          <w:ilvl w:val="0"/>
          <w:numId w:val="27"/>
        </w:numPr>
        <w:spacing w:beforeLines="50" w:before="120" w:afterLines="50" w:after="120"/>
        <w:ind w:leftChars="0"/>
        <w:jc w:val="both"/>
        <w:rPr>
          <w:rFonts w:eastAsiaTheme="minorEastAsia"/>
          <w:sz w:val="22"/>
          <w:lang w:val="en-US"/>
        </w:rPr>
      </w:pPr>
      <w:r>
        <w:rPr>
          <w:rFonts w:eastAsiaTheme="minorEastAsia" w:hint="eastAsia"/>
          <w:sz w:val="22"/>
          <w:lang w:val="en-US"/>
        </w:rPr>
        <w:t xml:space="preserve">To decide TX/RX power, PSFCH newly needs to be considered, which is </w:t>
      </w:r>
      <w:r w:rsidR="00572304">
        <w:rPr>
          <w:rFonts w:eastAsiaTheme="minorEastAsia"/>
          <w:sz w:val="22"/>
          <w:lang w:val="en-US"/>
        </w:rPr>
        <w:t>unsupported channel</w:t>
      </w:r>
      <w:r>
        <w:rPr>
          <w:rFonts w:eastAsiaTheme="minorEastAsia" w:hint="eastAsia"/>
          <w:sz w:val="22"/>
          <w:lang w:val="en-US"/>
        </w:rPr>
        <w:t xml:space="preserve"> in LTE-SL.</w:t>
      </w:r>
      <w:r w:rsidR="00974156">
        <w:rPr>
          <w:rFonts w:eastAsiaTheme="minorEastAsia"/>
          <w:sz w:val="22"/>
          <w:lang w:val="en-US"/>
        </w:rPr>
        <w:t xml:space="preserve"> </w:t>
      </w:r>
    </w:p>
    <w:p w14:paraId="303B95A2" w14:textId="6AE4FB20" w:rsidR="00974156" w:rsidRDefault="00974156" w:rsidP="00974156">
      <w:pPr>
        <w:pStyle w:val="afe"/>
        <w:numPr>
          <w:ilvl w:val="1"/>
          <w:numId w:val="27"/>
        </w:numPr>
        <w:spacing w:beforeLines="50" w:before="120" w:afterLines="50" w:after="120"/>
        <w:ind w:leftChars="0"/>
        <w:jc w:val="both"/>
        <w:rPr>
          <w:rFonts w:eastAsiaTheme="minorEastAsia"/>
          <w:sz w:val="22"/>
          <w:lang w:val="en-US"/>
        </w:rPr>
      </w:pPr>
      <w:r>
        <w:rPr>
          <w:rFonts w:eastAsiaTheme="minorEastAsia"/>
          <w:sz w:val="22"/>
          <w:lang w:val="en-US"/>
        </w:rPr>
        <w:t>PSCCH/PSSCH RX would be the same as PDCCH/PDSCH RX. Similarly, PSCCH/PSSCH TX can be the same as UL TX (long PUCCH</w:t>
      </w:r>
      <w:r w:rsidR="00481CB1">
        <w:rPr>
          <w:rFonts w:eastAsiaTheme="minorEastAsia"/>
          <w:sz w:val="22"/>
          <w:lang w:val="en-US"/>
        </w:rPr>
        <w:t xml:space="preserve"> or </w:t>
      </w:r>
      <w:r>
        <w:rPr>
          <w:rFonts w:eastAsiaTheme="minorEastAsia"/>
          <w:sz w:val="22"/>
          <w:lang w:val="en-US"/>
        </w:rPr>
        <w:t>PUSCH).</w:t>
      </w:r>
    </w:p>
    <w:p w14:paraId="71533207" w14:textId="03039834" w:rsidR="00B5151F" w:rsidRDefault="00974156" w:rsidP="00B5151F">
      <w:pPr>
        <w:pStyle w:val="afe"/>
        <w:numPr>
          <w:ilvl w:val="1"/>
          <w:numId w:val="27"/>
        </w:numPr>
        <w:spacing w:beforeLines="50" w:before="120" w:afterLines="50" w:after="120"/>
        <w:ind w:leftChars="0"/>
        <w:jc w:val="both"/>
        <w:rPr>
          <w:rFonts w:eastAsiaTheme="minorEastAsia"/>
          <w:sz w:val="22"/>
          <w:lang w:val="en-US"/>
        </w:rPr>
      </w:pPr>
      <w:r>
        <w:rPr>
          <w:rFonts w:eastAsiaTheme="minorEastAsia"/>
          <w:sz w:val="22"/>
          <w:lang w:val="en-US"/>
        </w:rPr>
        <w:t>PSFCH is only 1-symbol channel</w:t>
      </w:r>
      <w:r w:rsidR="008A62EB">
        <w:rPr>
          <w:rFonts w:eastAsiaTheme="minorEastAsia"/>
          <w:sz w:val="22"/>
          <w:lang w:val="en-US"/>
        </w:rPr>
        <w:t xml:space="preserve"> with exceptions of AGC symbol</w:t>
      </w:r>
      <w:r w:rsidR="00A70836">
        <w:rPr>
          <w:rFonts w:eastAsiaTheme="minorEastAsia"/>
          <w:sz w:val="22"/>
          <w:lang w:val="en-US"/>
        </w:rPr>
        <w:t xml:space="preserve"> and channel coding is not applied</w:t>
      </w:r>
      <w:r w:rsidR="008A62EB">
        <w:rPr>
          <w:rFonts w:eastAsiaTheme="minorEastAsia"/>
          <w:sz w:val="22"/>
          <w:lang w:val="en-US"/>
        </w:rPr>
        <w:t>; i.e. PDCCH-only can be used</w:t>
      </w:r>
      <w:r w:rsidR="00B5151F">
        <w:rPr>
          <w:rFonts w:eastAsiaTheme="minorEastAsia"/>
          <w:sz w:val="22"/>
          <w:lang w:val="en-US"/>
        </w:rPr>
        <w:t xml:space="preserve"> for PSFCH RX</w:t>
      </w:r>
      <w:r w:rsidR="008A62EB">
        <w:rPr>
          <w:rFonts w:eastAsiaTheme="minorEastAsia"/>
          <w:sz w:val="22"/>
          <w:lang w:val="en-US"/>
        </w:rPr>
        <w:t xml:space="preserve"> as a reference and smaller value might be </w:t>
      </w:r>
      <w:r w:rsidR="00A70836">
        <w:rPr>
          <w:rFonts w:eastAsiaTheme="minorEastAsia"/>
          <w:sz w:val="22"/>
          <w:lang w:val="en-US"/>
        </w:rPr>
        <w:t>enough.</w:t>
      </w:r>
      <w:r w:rsidR="00B5151F">
        <w:rPr>
          <w:rFonts w:eastAsiaTheme="minorEastAsia"/>
          <w:sz w:val="22"/>
          <w:lang w:val="en-US"/>
        </w:rPr>
        <w:t xml:space="preserve"> For PSFCH TX, further discussion is necessary.</w:t>
      </w:r>
    </w:p>
    <w:p w14:paraId="3BF2B2EC" w14:textId="4F317BCE" w:rsidR="00AD44CD" w:rsidRDefault="00B31272" w:rsidP="00B5151F">
      <w:pPr>
        <w:pStyle w:val="afe"/>
        <w:numPr>
          <w:ilvl w:val="1"/>
          <w:numId w:val="27"/>
        </w:numPr>
        <w:spacing w:beforeLines="50" w:before="120" w:afterLines="50" w:after="120"/>
        <w:ind w:leftChars="0"/>
        <w:jc w:val="both"/>
        <w:rPr>
          <w:rFonts w:eastAsiaTheme="minorEastAsia"/>
          <w:sz w:val="22"/>
          <w:lang w:val="en-US"/>
        </w:rPr>
      </w:pPr>
      <w:r>
        <w:rPr>
          <w:rFonts w:eastAsiaTheme="minorEastAsia"/>
          <w:sz w:val="22"/>
          <w:lang w:val="en-US"/>
        </w:rPr>
        <w:t xml:space="preserve">S-SSB RX would be the same as SSB RX in TR 38.840. </w:t>
      </w:r>
      <w:r w:rsidR="00542202">
        <w:rPr>
          <w:rFonts w:eastAsiaTheme="minorEastAsia"/>
          <w:sz w:val="22"/>
          <w:lang w:val="en-US"/>
        </w:rPr>
        <w:t xml:space="preserve">S-SSB </w:t>
      </w:r>
      <w:r>
        <w:rPr>
          <w:rFonts w:eastAsiaTheme="minorEastAsia"/>
          <w:sz w:val="22"/>
          <w:lang w:val="en-US"/>
        </w:rPr>
        <w:t xml:space="preserve">TX would be </w:t>
      </w:r>
      <w:r w:rsidR="00830F21">
        <w:rPr>
          <w:rFonts w:eastAsiaTheme="minorEastAsia"/>
          <w:sz w:val="22"/>
          <w:lang w:val="en-US"/>
        </w:rPr>
        <w:t>similar to</w:t>
      </w:r>
      <w:r>
        <w:rPr>
          <w:rFonts w:eastAsiaTheme="minorEastAsia"/>
          <w:sz w:val="22"/>
          <w:lang w:val="en-US"/>
        </w:rPr>
        <w:t xml:space="preserve"> UL TX.</w:t>
      </w:r>
    </w:p>
    <w:p w14:paraId="56BDCE46" w14:textId="6992BE6D" w:rsidR="00B5151F" w:rsidRDefault="00B5151F" w:rsidP="00B5151F">
      <w:pPr>
        <w:pStyle w:val="afe"/>
        <w:numPr>
          <w:ilvl w:val="0"/>
          <w:numId w:val="27"/>
        </w:numPr>
        <w:spacing w:beforeLines="50" w:before="120" w:afterLines="50" w:after="120"/>
        <w:ind w:leftChars="0"/>
        <w:jc w:val="both"/>
        <w:rPr>
          <w:rFonts w:eastAsiaTheme="minorEastAsia"/>
          <w:sz w:val="22"/>
          <w:lang w:val="en-US"/>
        </w:rPr>
      </w:pPr>
      <w:r>
        <w:rPr>
          <w:rFonts w:eastAsiaTheme="minorEastAsia"/>
          <w:sz w:val="22"/>
          <w:lang w:val="en-US"/>
        </w:rPr>
        <w:t>GPS monit</w:t>
      </w:r>
      <w:r w:rsidR="00593870">
        <w:rPr>
          <w:rFonts w:eastAsiaTheme="minorEastAsia"/>
          <w:sz w:val="22"/>
          <w:lang w:val="en-US"/>
        </w:rPr>
        <w:t>oring consumes power as in TR 36.843</w:t>
      </w:r>
      <w:bookmarkStart w:id="7" w:name="_GoBack"/>
      <w:bookmarkEnd w:id="7"/>
      <w:r>
        <w:rPr>
          <w:rFonts w:eastAsiaTheme="minorEastAsia"/>
          <w:sz w:val="22"/>
          <w:lang w:val="en-US"/>
        </w:rPr>
        <w:t xml:space="preserve">. </w:t>
      </w:r>
      <w:r w:rsidR="00015DC5">
        <w:rPr>
          <w:rFonts w:eastAsiaTheme="minorEastAsia"/>
          <w:sz w:val="22"/>
          <w:lang w:val="en-US"/>
        </w:rPr>
        <w:t>Relationship between TX power and RX power in TR 36.843 is qui</w:t>
      </w:r>
      <w:r w:rsidR="00FD6748">
        <w:rPr>
          <w:rFonts w:eastAsiaTheme="minorEastAsia"/>
          <w:sz w:val="22"/>
          <w:lang w:val="en-US"/>
        </w:rPr>
        <w:t xml:space="preserve">te similar to that between UL TX and PDCCH/PDSCH RX (0 </w:t>
      </w:r>
      <w:proofErr w:type="spellStart"/>
      <w:r w:rsidR="00FD6748">
        <w:rPr>
          <w:rFonts w:eastAsiaTheme="minorEastAsia"/>
          <w:sz w:val="22"/>
          <w:lang w:val="en-US"/>
        </w:rPr>
        <w:t>dBm</w:t>
      </w:r>
      <w:proofErr w:type="spellEnd"/>
      <w:r w:rsidR="00FD6748">
        <w:rPr>
          <w:rFonts w:eastAsiaTheme="minorEastAsia"/>
          <w:sz w:val="22"/>
          <w:lang w:val="en-US"/>
        </w:rPr>
        <w:t xml:space="preserve"> case); hence GPS power for NR-SL can be calculated from the relationship.</w:t>
      </w:r>
    </w:p>
    <w:p w14:paraId="435FC866" w14:textId="5E1FF7B2" w:rsidR="00FD6748" w:rsidRDefault="00FD6748" w:rsidP="00FD6748">
      <w:pPr>
        <w:spacing w:beforeLines="50" w:before="120" w:afterLines="50" w:after="120"/>
        <w:ind w:left="57"/>
        <w:jc w:val="both"/>
        <w:rPr>
          <w:rFonts w:eastAsiaTheme="minorEastAsia"/>
          <w:sz w:val="22"/>
          <w:lang w:val="en-US"/>
        </w:rPr>
      </w:pPr>
      <w:r>
        <w:rPr>
          <w:rFonts w:eastAsiaTheme="minorEastAsia" w:hint="eastAsia"/>
          <w:sz w:val="22"/>
          <w:lang w:val="en-US"/>
        </w:rPr>
        <w:t xml:space="preserve">Based on the above analysis, </w:t>
      </w:r>
      <w:r>
        <w:rPr>
          <w:rFonts w:eastAsiaTheme="minorEastAsia"/>
          <w:sz w:val="22"/>
          <w:lang w:val="en-US"/>
        </w:rPr>
        <w:t>table</w:t>
      </w:r>
      <w:r w:rsidR="00440DF6">
        <w:rPr>
          <w:rFonts w:eastAsiaTheme="minorEastAsia"/>
          <w:sz w:val="22"/>
          <w:lang w:val="en-US"/>
        </w:rPr>
        <w:t xml:space="preserve"> 4</w:t>
      </w:r>
      <w:r>
        <w:rPr>
          <w:rFonts w:eastAsiaTheme="minorEastAsia"/>
          <w:sz w:val="22"/>
          <w:lang w:val="en-US"/>
        </w:rPr>
        <w:t xml:space="preserve"> can be provided.</w:t>
      </w:r>
    </w:p>
    <w:p w14:paraId="08605FC6" w14:textId="77777777" w:rsidR="00440DF6" w:rsidRDefault="00440DF6" w:rsidP="00440DF6">
      <w:pPr>
        <w:tabs>
          <w:tab w:val="center" w:pos="3119"/>
          <w:tab w:val="center" w:pos="7797"/>
        </w:tabs>
        <w:spacing w:beforeLines="50" w:before="120" w:afterLines="50" w:after="120"/>
        <w:ind w:left="57"/>
        <w:jc w:val="center"/>
        <w:rPr>
          <w:rFonts w:eastAsiaTheme="minorEastAsia"/>
          <w:sz w:val="22"/>
          <w:lang w:val="en-US"/>
        </w:rPr>
      </w:pPr>
      <w:r>
        <w:rPr>
          <w:rFonts w:eastAsiaTheme="minorEastAsia" w:hint="eastAsia"/>
          <w:sz w:val="22"/>
          <w:lang w:val="en-US"/>
        </w:rPr>
        <w:t xml:space="preserve">Table 3: </w:t>
      </w:r>
      <w:r w:rsidRPr="00794F6A">
        <w:rPr>
          <w:rFonts w:eastAsiaTheme="minorEastAsia"/>
          <w:sz w:val="22"/>
          <w:lang w:val="en-US"/>
        </w:rPr>
        <w:t>Power consumption model</w:t>
      </w:r>
    </w:p>
    <w:p w14:paraId="7446ECE4" w14:textId="77777777" w:rsidR="00440DF6" w:rsidRDefault="00440DF6" w:rsidP="00440DF6">
      <w:pPr>
        <w:tabs>
          <w:tab w:val="center" w:pos="2127"/>
          <w:tab w:val="center" w:pos="6804"/>
        </w:tabs>
        <w:spacing w:beforeLines="50" w:before="120" w:afterLines="50" w:after="120"/>
        <w:ind w:left="57"/>
        <w:jc w:val="both"/>
        <w:rPr>
          <w:rFonts w:eastAsiaTheme="minorEastAsia"/>
          <w:sz w:val="22"/>
          <w:lang w:val="en-US"/>
        </w:rPr>
      </w:pPr>
      <w:r>
        <w:rPr>
          <w:rFonts w:eastAsiaTheme="minorEastAsia"/>
          <w:sz w:val="22"/>
          <w:lang w:val="en-US"/>
        </w:rPr>
        <w:tab/>
        <w:t>a) TR 36.843</w:t>
      </w:r>
      <w:r>
        <w:rPr>
          <w:rFonts w:eastAsiaTheme="minorEastAsia"/>
          <w:sz w:val="22"/>
          <w:lang w:val="en-US"/>
        </w:rPr>
        <w:tab/>
        <w:t>b) TR 38.840</w:t>
      </w:r>
    </w:p>
    <w:p w14:paraId="5FFAEF59" w14:textId="77777777" w:rsidR="00440DF6" w:rsidRDefault="00440DF6" w:rsidP="00440DF6">
      <w:pPr>
        <w:tabs>
          <w:tab w:val="center" w:pos="2127"/>
          <w:tab w:val="center" w:pos="6804"/>
        </w:tabs>
        <w:spacing w:beforeLines="50" w:before="120" w:afterLines="50" w:after="120"/>
        <w:ind w:left="57"/>
        <w:jc w:val="both"/>
        <w:textAlignment w:val="top"/>
        <w:rPr>
          <w:rFonts w:eastAsiaTheme="minorEastAsia"/>
          <w:sz w:val="22"/>
          <w:lang w:val="en-US"/>
        </w:rPr>
      </w:pPr>
      <w:r>
        <w:rPr>
          <w:noProof/>
          <w:lang w:val="en-US"/>
        </w:rPr>
        <w:tab/>
      </w:r>
      <w:r w:rsidRPr="00496536">
        <w:rPr>
          <w:rFonts w:eastAsiaTheme="minorEastAsia"/>
          <w:noProof/>
          <w:sz w:val="22"/>
          <w:lang w:val="en-US"/>
        </w:rPr>
        <w:drawing>
          <wp:inline distT="0" distB="0" distL="0" distR="0" wp14:anchorId="38BD0160" wp14:editId="45EA83C3">
            <wp:extent cx="1829160" cy="837360"/>
            <wp:effectExtent l="0" t="0" r="0" b="1270"/>
            <wp:docPr id="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pic:cNvPicPr>
                      <a:picLocks noChangeAspect="1"/>
                    </pic:cNvPicPr>
                  </pic:nvPicPr>
                  <pic:blipFill>
                    <a:blip r:embed="rId10"/>
                    <a:stretch>
                      <a:fillRect/>
                    </a:stretch>
                  </pic:blipFill>
                  <pic:spPr>
                    <a:xfrm>
                      <a:off x="0" y="0"/>
                      <a:ext cx="1829160" cy="837360"/>
                    </a:xfrm>
                    <a:prstGeom prst="rect">
                      <a:avLst/>
                    </a:prstGeom>
                  </pic:spPr>
                </pic:pic>
              </a:graphicData>
            </a:graphic>
          </wp:inline>
        </w:drawing>
      </w:r>
      <w:r>
        <w:rPr>
          <w:noProof/>
          <w:lang w:val="en-US"/>
        </w:rPr>
        <w:tab/>
      </w:r>
      <w:r w:rsidRPr="00496536">
        <w:rPr>
          <w:noProof/>
          <w:lang w:val="en-US"/>
        </w:rPr>
        <w:t xml:space="preserve"> </w:t>
      </w:r>
      <w:r w:rsidRPr="00794F6A">
        <w:rPr>
          <w:rFonts w:eastAsiaTheme="minorEastAsia"/>
          <w:sz w:val="22"/>
          <w:lang w:val="en-US"/>
        </w:rPr>
        <w:t xml:space="preserve"> </w:t>
      </w:r>
      <w:r w:rsidRPr="00765791">
        <w:rPr>
          <w:rFonts w:eastAsiaTheme="minorEastAsia"/>
          <w:noProof/>
          <w:sz w:val="22"/>
          <w:lang w:val="en-US"/>
        </w:rPr>
        <w:drawing>
          <wp:inline distT="0" distB="0" distL="0" distR="0" wp14:anchorId="50CD990B" wp14:editId="7A752697">
            <wp:extent cx="3362040" cy="2252160"/>
            <wp:effectExtent l="0" t="0" r="0" b="0"/>
            <wp:docPr id="8"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pic:cNvPicPr>
                      <a:picLocks noChangeAspect="1"/>
                    </pic:cNvPicPr>
                  </pic:nvPicPr>
                  <pic:blipFill>
                    <a:blip r:embed="rId11"/>
                    <a:stretch>
                      <a:fillRect/>
                    </a:stretch>
                  </pic:blipFill>
                  <pic:spPr>
                    <a:xfrm>
                      <a:off x="0" y="0"/>
                      <a:ext cx="3362040" cy="2252160"/>
                    </a:xfrm>
                    <a:prstGeom prst="rect">
                      <a:avLst/>
                    </a:prstGeom>
                  </pic:spPr>
                </pic:pic>
              </a:graphicData>
            </a:graphic>
          </wp:inline>
        </w:drawing>
      </w:r>
    </w:p>
    <w:p w14:paraId="360B5D3F" w14:textId="00DFC92D" w:rsidR="00FD6748" w:rsidRDefault="00FD6748" w:rsidP="00FD6748">
      <w:pPr>
        <w:tabs>
          <w:tab w:val="center" w:pos="3119"/>
          <w:tab w:val="center" w:pos="7797"/>
        </w:tabs>
        <w:spacing w:beforeLines="50" w:before="120" w:afterLines="50" w:after="120"/>
        <w:ind w:left="57"/>
        <w:jc w:val="center"/>
        <w:rPr>
          <w:rFonts w:eastAsiaTheme="minorEastAsia"/>
          <w:sz w:val="22"/>
          <w:lang w:val="en-US"/>
        </w:rPr>
      </w:pPr>
      <w:r>
        <w:rPr>
          <w:rFonts w:eastAsiaTheme="minorEastAsia" w:hint="eastAsia"/>
          <w:sz w:val="22"/>
          <w:lang w:val="en-US"/>
        </w:rPr>
        <w:t xml:space="preserve">Table 4: </w:t>
      </w:r>
      <w:r w:rsidRPr="00794F6A">
        <w:rPr>
          <w:rFonts w:eastAsiaTheme="minorEastAsia"/>
          <w:sz w:val="22"/>
          <w:lang w:val="en-US"/>
        </w:rPr>
        <w:t>Power consumption model</w:t>
      </w:r>
      <w:r>
        <w:rPr>
          <w:rFonts w:eastAsiaTheme="minorEastAsia"/>
          <w:sz w:val="22"/>
          <w:lang w:val="en-US"/>
        </w:rPr>
        <w:t xml:space="preserve"> for NR-SL.</w:t>
      </w:r>
    </w:p>
    <w:p w14:paraId="24357C5F" w14:textId="4D2E0B0F" w:rsidR="00AB71DF" w:rsidRDefault="00AB71DF" w:rsidP="00FD6748">
      <w:pPr>
        <w:tabs>
          <w:tab w:val="center" w:pos="3119"/>
          <w:tab w:val="center" w:pos="7797"/>
        </w:tabs>
        <w:spacing w:beforeLines="50" w:before="120" w:afterLines="50" w:after="120"/>
        <w:ind w:left="57"/>
        <w:jc w:val="center"/>
        <w:rPr>
          <w:rFonts w:eastAsiaTheme="minorEastAsia"/>
          <w:sz w:val="22"/>
          <w:lang w:val="en-US"/>
        </w:rPr>
      </w:pPr>
      <w:r w:rsidRPr="00AB71DF">
        <w:rPr>
          <w:rFonts w:eastAsiaTheme="minorEastAsia"/>
          <w:noProof/>
          <w:sz w:val="22"/>
          <w:lang w:val="en-US"/>
        </w:rPr>
        <w:drawing>
          <wp:inline distT="0" distB="0" distL="0" distR="0" wp14:anchorId="7A6B16DD" wp14:editId="2E87E637">
            <wp:extent cx="3503160" cy="1958040"/>
            <wp:effectExtent l="0" t="0" r="2540" b="4445"/>
            <wp:docPr id="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pic:cNvPicPr>
                      <a:picLocks noChangeAspect="1"/>
                    </pic:cNvPicPr>
                  </pic:nvPicPr>
                  <pic:blipFill>
                    <a:blip r:embed="rId12"/>
                    <a:stretch>
                      <a:fillRect/>
                    </a:stretch>
                  </pic:blipFill>
                  <pic:spPr>
                    <a:xfrm>
                      <a:off x="0" y="0"/>
                      <a:ext cx="3503160" cy="1958040"/>
                    </a:xfrm>
                    <a:prstGeom prst="rect">
                      <a:avLst/>
                    </a:prstGeom>
                  </pic:spPr>
                </pic:pic>
              </a:graphicData>
            </a:graphic>
          </wp:inline>
        </w:drawing>
      </w:r>
    </w:p>
    <w:p w14:paraId="5822356D" w14:textId="77777777" w:rsidR="00334D8F" w:rsidRDefault="00334D8F" w:rsidP="00AB71DF">
      <w:pPr>
        <w:spacing w:before="50" w:afterLines="50" w:after="120"/>
        <w:jc w:val="both"/>
        <w:rPr>
          <w:rFonts w:eastAsiaTheme="minorEastAsia"/>
          <w:b/>
          <w:sz w:val="22"/>
          <w:u w:val="single"/>
        </w:rPr>
      </w:pPr>
    </w:p>
    <w:p w14:paraId="0C9D94ED" w14:textId="77777777" w:rsidR="00334D8F" w:rsidRDefault="00334D8F" w:rsidP="00AB71DF">
      <w:pPr>
        <w:spacing w:before="50" w:afterLines="50" w:after="120"/>
        <w:jc w:val="both"/>
        <w:rPr>
          <w:rFonts w:eastAsiaTheme="minorEastAsia"/>
          <w:b/>
          <w:sz w:val="22"/>
          <w:u w:val="single"/>
        </w:rPr>
      </w:pPr>
    </w:p>
    <w:p w14:paraId="37DA6959" w14:textId="670D8469" w:rsidR="00AB71DF" w:rsidRPr="00C82FD7" w:rsidRDefault="00AB71DF" w:rsidP="00AB71DF">
      <w:pPr>
        <w:spacing w:before="50"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CE3C9C9" w14:textId="7E2DD434" w:rsidR="00ED52BC" w:rsidRDefault="00ED52BC" w:rsidP="00481CB1">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Power consumption model </w:t>
      </w:r>
      <w:r>
        <w:rPr>
          <w:rFonts w:eastAsiaTheme="minorEastAsia"/>
          <w:i/>
          <w:sz w:val="22"/>
          <w:lang w:val="en-US"/>
        </w:rPr>
        <w:t>in TR 38.840</w:t>
      </w:r>
      <w:r w:rsidR="00481CB1">
        <w:rPr>
          <w:rFonts w:eastAsiaTheme="minorEastAsia"/>
          <w:i/>
          <w:sz w:val="22"/>
          <w:lang w:val="en-US"/>
        </w:rPr>
        <w:t xml:space="preserve"> is baseline.</w:t>
      </w:r>
    </w:p>
    <w:p w14:paraId="3F32BB2A" w14:textId="7173EAD5" w:rsidR="00481CB1" w:rsidRDefault="00481CB1" w:rsidP="00481CB1">
      <w:pPr>
        <w:numPr>
          <w:ilvl w:val="1"/>
          <w:numId w:val="8"/>
        </w:numPr>
        <w:spacing w:before="50" w:afterLines="50" w:after="120"/>
        <w:jc w:val="both"/>
        <w:rPr>
          <w:rFonts w:eastAsiaTheme="minorEastAsia"/>
          <w:i/>
          <w:sz w:val="22"/>
          <w:lang w:val="en-US"/>
        </w:rPr>
      </w:pPr>
      <w:r>
        <w:rPr>
          <w:rFonts w:eastAsiaTheme="minorEastAsia" w:hint="eastAsia"/>
          <w:i/>
          <w:sz w:val="22"/>
          <w:lang w:val="en-US"/>
        </w:rPr>
        <w:t xml:space="preserve">Three sleep states </w:t>
      </w:r>
      <w:r>
        <w:rPr>
          <w:rFonts w:eastAsiaTheme="minorEastAsia"/>
          <w:i/>
          <w:sz w:val="22"/>
          <w:lang w:val="en-US"/>
        </w:rPr>
        <w:t>are</w:t>
      </w:r>
      <w:r>
        <w:rPr>
          <w:rFonts w:eastAsiaTheme="minorEastAsia" w:hint="eastAsia"/>
          <w:i/>
          <w:sz w:val="22"/>
          <w:lang w:val="en-US"/>
        </w:rPr>
        <w:t xml:space="preserve"> reused.</w:t>
      </w:r>
    </w:p>
    <w:p w14:paraId="0704D3CF" w14:textId="5A3749CB" w:rsidR="00422135" w:rsidRDefault="00422135" w:rsidP="00481CB1">
      <w:pPr>
        <w:numPr>
          <w:ilvl w:val="1"/>
          <w:numId w:val="8"/>
        </w:numPr>
        <w:spacing w:before="50" w:afterLines="50" w:after="120"/>
        <w:jc w:val="both"/>
        <w:rPr>
          <w:rFonts w:eastAsiaTheme="minorEastAsia"/>
          <w:i/>
          <w:sz w:val="22"/>
          <w:lang w:val="en-US"/>
        </w:rPr>
      </w:pPr>
      <w:r>
        <w:rPr>
          <w:rFonts w:eastAsiaTheme="minorEastAsia"/>
          <w:i/>
          <w:sz w:val="22"/>
          <w:lang w:val="en-US"/>
        </w:rPr>
        <w:t>PSFCH TX and PSFCH RX is newly defined as well as PSCCH/PSSCH.</w:t>
      </w:r>
    </w:p>
    <w:p w14:paraId="0ECF8FDE" w14:textId="77777777" w:rsidR="00422135" w:rsidRDefault="00422135" w:rsidP="00422135">
      <w:pPr>
        <w:numPr>
          <w:ilvl w:val="0"/>
          <w:numId w:val="8"/>
        </w:numPr>
        <w:spacing w:before="50" w:afterLines="50" w:after="120"/>
        <w:jc w:val="both"/>
        <w:rPr>
          <w:rFonts w:eastAsiaTheme="minorEastAsia"/>
          <w:i/>
          <w:sz w:val="22"/>
          <w:lang w:val="en-US"/>
        </w:rPr>
      </w:pPr>
      <w:r>
        <w:rPr>
          <w:rFonts w:eastAsiaTheme="minorEastAsia"/>
          <w:i/>
          <w:sz w:val="22"/>
          <w:lang w:val="en-US"/>
        </w:rPr>
        <w:t>Regarding relative power,</w:t>
      </w:r>
    </w:p>
    <w:p w14:paraId="71149EA0" w14:textId="4158D0D2" w:rsidR="00481CB1" w:rsidRDefault="00481CB1" w:rsidP="00422135">
      <w:pPr>
        <w:numPr>
          <w:ilvl w:val="1"/>
          <w:numId w:val="8"/>
        </w:numPr>
        <w:spacing w:before="50" w:afterLines="50" w:after="120"/>
        <w:jc w:val="both"/>
        <w:rPr>
          <w:rFonts w:eastAsiaTheme="minorEastAsia"/>
          <w:i/>
          <w:sz w:val="22"/>
          <w:lang w:val="en-US"/>
        </w:rPr>
      </w:pPr>
      <w:r>
        <w:rPr>
          <w:rFonts w:eastAsiaTheme="minorEastAsia"/>
          <w:i/>
          <w:sz w:val="22"/>
          <w:lang w:val="en-US"/>
        </w:rPr>
        <w:t>PSCCH/PSSCH TX or S-SSB TX</w:t>
      </w:r>
      <w:r w:rsidR="004334F4">
        <w:rPr>
          <w:rFonts w:eastAsiaTheme="minorEastAsia"/>
          <w:i/>
          <w:sz w:val="22"/>
          <w:lang w:val="en-US"/>
        </w:rPr>
        <w:t xml:space="preserve"> is the</w:t>
      </w:r>
      <w:r w:rsidR="00422135">
        <w:rPr>
          <w:rFonts w:eastAsiaTheme="minorEastAsia"/>
          <w:i/>
          <w:sz w:val="22"/>
          <w:lang w:val="en-US"/>
        </w:rPr>
        <w:t xml:space="preserve"> same as </w:t>
      </w:r>
      <w:r>
        <w:rPr>
          <w:rFonts w:eastAsiaTheme="minorEastAsia"/>
          <w:i/>
          <w:sz w:val="22"/>
          <w:lang w:val="en-US"/>
        </w:rPr>
        <w:t>UL TX</w:t>
      </w:r>
    </w:p>
    <w:p w14:paraId="703A1199" w14:textId="210D72EB" w:rsidR="00422135" w:rsidRDefault="00422135" w:rsidP="00481CB1">
      <w:pPr>
        <w:numPr>
          <w:ilvl w:val="1"/>
          <w:numId w:val="8"/>
        </w:numPr>
        <w:spacing w:before="50" w:afterLines="50" w:after="120"/>
        <w:jc w:val="both"/>
        <w:rPr>
          <w:rFonts w:eastAsiaTheme="minorEastAsia"/>
          <w:i/>
          <w:sz w:val="22"/>
          <w:lang w:val="en-US"/>
        </w:rPr>
      </w:pPr>
      <w:r>
        <w:rPr>
          <w:rFonts w:eastAsiaTheme="minorEastAsia"/>
          <w:i/>
          <w:sz w:val="22"/>
          <w:lang w:val="en-US"/>
        </w:rPr>
        <w:t>PSCCH/PSSCH RX</w:t>
      </w:r>
      <w:r w:rsidR="004334F4">
        <w:rPr>
          <w:rFonts w:eastAsiaTheme="minorEastAsia"/>
          <w:i/>
          <w:sz w:val="22"/>
          <w:lang w:val="en-US"/>
        </w:rPr>
        <w:t xml:space="preserve"> is the</w:t>
      </w:r>
      <w:r>
        <w:rPr>
          <w:rFonts w:eastAsiaTheme="minorEastAsia"/>
          <w:i/>
          <w:sz w:val="22"/>
          <w:lang w:val="en-US"/>
        </w:rPr>
        <w:t xml:space="preserve"> same as PDCCH/PDSCH RX</w:t>
      </w:r>
      <w:r w:rsidR="004334F4">
        <w:rPr>
          <w:rFonts w:eastAsiaTheme="minorEastAsia"/>
          <w:i/>
          <w:sz w:val="22"/>
          <w:lang w:val="en-US"/>
        </w:rPr>
        <w:t>: 300</w:t>
      </w:r>
    </w:p>
    <w:p w14:paraId="0B644A38" w14:textId="12B71136" w:rsidR="00422135" w:rsidRDefault="004334F4" w:rsidP="00481CB1">
      <w:pPr>
        <w:numPr>
          <w:ilvl w:val="1"/>
          <w:numId w:val="8"/>
        </w:numPr>
        <w:spacing w:before="50" w:afterLines="50" w:after="120"/>
        <w:jc w:val="both"/>
        <w:rPr>
          <w:rFonts w:eastAsiaTheme="minorEastAsia"/>
          <w:i/>
          <w:sz w:val="22"/>
          <w:lang w:val="en-US"/>
        </w:rPr>
      </w:pPr>
      <w:r>
        <w:rPr>
          <w:rFonts w:eastAsiaTheme="minorEastAsia"/>
          <w:i/>
          <w:sz w:val="22"/>
          <w:lang w:val="en-US"/>
        </w:rPr>
        <w:t>S-SSB RX is the</w:t>
      </w:r>
      <w:r w:rsidR="00FD254F">
        <w:rPr>
          <w:rFonts w:eastAsiaTheme="minorEastAsia"/>
          <w:i/>
          <w:sz w:val="22"/>
          <w:lang w:val="en-US"/>
        </w:rPr>
        <w:t xml:space="preserve"> same as SSB RX</w:t>
      </w:r>
      <w:r>
        <w:rPr>
          <w:rFonts w:eastAsiaTheme="minorEastAsia"/>
          <w:i/>
          <w:sz w:val="22"/>
          <w:lang w:val="en-US"/>
        </w:rPr>
        <w:t>: 100</w:t>
      </w:r>
    </w:p>
    <w:p w14:paraId="3A45CDDA" w14:textId="52D0D499" w:rsidR="00FD254F" w:rsidRDefault="004334F4" w:rsidP="00481CB1">
      <w:pPr>
        <w:numPr>
          <w:ilvl w:val="1"/>
          <w:numId w:val="8"/>
        </w:numPr>
        <w:spacing w:before="50" w:afterLines="50" w:after="120"/>
        <w:jc w:val="both"/>
        <w:rPr>
          <w:rFonts w:eastAsiaTheme="minorEastAsia"/>
          <w:i/>
          <w:sz w:val="22"/>
          <w:lang w:val="en-US"/>
        </w:rPr>
      </w:pPr>
      <w:r>
        <w:rPr>
          <w:rFonts w:eastAsiaTheme="minorEastAsia"/>
          <w:i/>
          <w:sz w:val="22"/>
          <w:lang w:val="en-US"/>
        </w:rPr>
        <w:t>PSFCH RX is the</w:t>
      </w:r>
      <w:r w:rsidR="00FD254F">
        <w:rPr>
          <w:rFonts w:eastAsiaTheme="minorEastAsia"/>
          <w:i/>
          <w:sz w:val="22"/>
          <w:lang w:val="en-US"/>
        </w:rPr>
        <w:t xml:space="preserve"> same as or smaller than PSCCH-only </w:t>
      </w:r>
      <w:r w:rsidR="00FD254F" w:rsidRPr="004334F4">
        <w:rPr>
          <w:rFonts w:eastAsiaTheme="minorEastAsia"/>
          <w:i/>
          <w:sz w:val="22"/>
          <w:lang w:val="en-US"/>
        </w:rPr>
        <w:t>RX</w:t>
      </w:r>
      <w:r w:rsidRPr="004334F4">
        <w:rPr>
          <w:rFonts w:eastAsiaTheme="minorEastAsia"/>
          <w:i/>
          <w:sz w:val="22"/>
          <w:lang w:val="en-US"/>
        </w:rPr>
        <w:t xml:space="preserve">: </w:t>
      </w:r>
      <w:r w:rsidRPr="004334F4">
        <w:rPr>
          <w:rFonts w:eastAsia="ＭＳ 明朝"/>
          <w:i/>
          <w:sz w:val="22"/>
          <w:lang w:val="en-US"/>
        </w:rPr>
        <w:t xml:space="preserve">≤ </w:t>
      </w:r>
      <w:r w:rsidRPr="004334F4">
        <w:rPr>
          <w:rFonts w:eastAsiaTheme="minorEastAsia"/>
          <w:i/>
          <w:sz w:val="22"/>
          <w:lang w:val="en-US"/>
        </w:rPr>
        <w:t>100</w:t>
      </w:r>
    </w:p>
    <w:p w14:paraId="30BC93DB" w14:textId="7021C583" w:rsidR="00FD254F" w:rsidRDefault="00B32F23" w:rsidP="00481CB1">
      <w:pPr>
        <w:numPr>
          <w:ilvl w:val="1"/>
          <w:numId w:val="8"/>
        </w:numPr>
        <w:spacing w:before="50" w:afterLines="50" w:after="120"/>
        <w:jc w:val="both"/>
        <w:rPr>
          <w:rFonts w:eastAsiaTheme="minorEastAsia"/>
          <w:i/>
          <w:sz w:val="22"/>
          <w:lang w:val="en-US"/>
        </w:rPr>
      </w:pPr>
      <w:r>
        <w:rPr>
          <w:rFonts w:eastAsiaTheme="minorEastAsia"/>
          <w:i/>
          <w:sz w:val="22"/>
          <w:lang w:val="en-US"/>
        </w:rPr>
        <w:t>GPS monitor is derived from TR 36.843: 20</w:t>
      </w:r>
    </w:p>
    <w:p w14:paraId="55BD2E82" w14:textId="250FE7A4" w:rsidR="00011885" w:rsidRDefault="00011885" w:rsidP="00AF58EE">
      <w:pPr>
        <w:spacing w:beforeLines="50" w:before="120" w:afterLines="50" w:after="120"/>
        <w:ind w:left="57"/>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2471D06"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8B2B91">
        <w:rPr>
          <w:rFonts w:eastAsia="SimSun"/>
          <w:sz w:val="22"/>
          <w:szCs w:val="22"/>
          <w:lang w:eastAsia="zh-CN"/>
        </w:rPr>
        <w:t>evaluation methodology for SL power saving</w:t>
      </w:r>
      <w:r w:rsidR="00382DD5" w:rsidRPr="00C82FD7">
        <w:rPr>
          <w:rFonts w:eastAsia="SimSun"/>
          <w:sz w:val="22"/>
          <w:szCs w:val="22"/>
          <w:lang w:eastAsia="zh-CN"/>
        </w:rPr>
        <w:t xml:space="preserve">. Proposals are summarized as following: </w:t>
      </w:r>
    </w:p>
    <w:p w14:paraId="3B0FF16A" w14:textId="77777777" w:rsidR="008B2B91" w:rsidRPr="00C82FD7" w:rsidRDefault="008B2B91" w:rsidP="008B2B9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DAD3411" w14:textId="77777777" w:rsidR="008B2B91" w:rsidRDefault="008B2B91" w:rsidP="008B2B91">
      <w:pPr>
        <w:numPr>
          <w:ilvl w:val="0"/>
          <w:numId w:val="8"/>
        </w:numPr>
        <w:spacing w:before="50" w:afterLines="50" w:after="120"/>
        <w:jc w:val="both"/>
        <w:rPr>
          <w:rFonts w:eastAsiaTheme="minorEastAsia"/>
          <w:i/>
          <w:sz w:val="22"/>
          <w:lang w:val="en-US"/>
        </w:rPr>
      </w:pPr>
      <w:r>
        <w:rPr>
          <w:rFonts w:eastAsiaTheme="minorEastAsia"/>
          <w:i/>
          <w:sz w:val="22"/>
          <w:lang w:val="en-US"/>
        </w:rPr>
        <w:t>General d</w:t>
      </w:r>
      <w:r>
        <w:rPr>
          <w:rFonts w:eastAsiaTheme="minorEastAsia" w:hint="eastAsia"/>
          <w:i/>
          <w:sz w:val="22"/>
          <w:lang w:val="en-US"/>
        </w:rPr>
        <w:t>eployment scenario</w:t>
      </w:r>
      <w:r>
        <w:rPr>
          <w:rFonts w:eastAsiaTheme="minorEastAsia"/>
          <w:i/>
          <w:sz w:val="22"/>
          <w:lang w:val="en-US"/>
        </w:rPr>
        <w:t xml:space="preserve"> in TR 36.843 with exceptions of detailed radio configuration is baseline and updated about at least the following aspects:</w:t>
      </w:r>
    </w:p>
    <w:p w14:paraId="28B351BC"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Carrier frequency: e.g. 5.9 GHz for V2X service and 3.5/4.5 GHz for other use cases.</w:t>
      </w:r>
    </w:p>
    <w:p w14:paraId="02535FF5"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Coverage: Both in-coverage and out-of-coverage.</w:t>
      </w:r>
    </w:p>
    <w:p w14:paraId="5394F87E"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hint="eastAsia"/>
          <w:i/>
          <w:sz w:val="22"/>
          <w:lang w:val="en-US"/>
        </w:rPr>
        <w:t>UE mobility: higher speed for V2X service.</w:t>
      </w:r>
    </w:p>
    <w:p w14:paraId="150DE65A" w14:textId="77777777" w:rsidR="008B2B91" w:rsidRDefault="008B2B91" w:rsidP="008B2B91">
      <w:pPr>
        <w:numPr>
          <w:ilvl w:val="0"/>
          <w:numId w:val="8"/>
        </w:numPr>
        <w:spacing w:before="50" w:afterLines="50" w:after="120"/>
        <w:jc w:val="both"/>
        <w:rPr>
          <w:rFonts w:eastAsiaTheme="minorEastAsia"/>
          <w:i/>
          <w:sz w:val="22"/>
          <w:lang w:val="en-US"/>
        </w:rPr>
      </w:pPr>
      <w:r>
        <w:rPr>
          <w:rFonts w:eastAsiaTheme="minorEastAsia"/>
          <w:i/>
          <w:sz w:val="22"/>
          <w:lang w:val="en-US"/>
        </w:rPr>
        <w:t>Whether dedicated deployment scenario is decided or not should be discussed.</w:t>
      </w:r>
    </w:p>
    <w:p w14:paraId="514AB661"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Note: this WI aims to maximum commonality between targeted use cases.</w:t>
      </w:r>
    </w:p>
    <w:p w14:paraId="5D823780" w14:textId="77777777" w:rsidR="008B2B91" w:rsidRPr="00C82FD7" w:rsidRDefault="008B2B91" w:rsidP="008B2B9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6798231B" w14:textId="77777777" w:rsidR="008B2B91" w:rsidRPr="00710150" w:rsidRDefault="008B2B91" w:rsidP="008B2B91">
      <w:pPr>
        <w:numPr>
          <w:ilvl w:val="0"/>
          <w:numId w:val="8"/>
        </w:numPr>
        <w:spacing w:before="50" w:afterLines="50" w:after="120"/>
        <w:jc w:val="both"/>
        <w:rPr>
          <w:rFonts w:eastAsiaTheme="minorEastAsia"/>
          <w:i/>
          <w:sz w:val="22"/>
          <w:lang w:val="en-US"/>
        </w:rPr>
      </w:pPr>
      <w:r w:rsidRPr="00710150">
        <w:rPr>
          <w:rFonts w:eastAsiaTheme="minorEastAsia"/>
          <w:i/>
          <w:sz w:val="22"/>
          <w:lang w:val="en-US"/>
        </w:rPr>
        <w:t>Detailed radio configuration in TR 38.840 is baseline and updated about at least the following aspects:</w:t>
      </w:r>
    </w:p>
    <w:p w14:paraId="5287BB71"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hint="eastAsia"/>
          <w:i/>
          <w:sz w:val="22"/>
          <w:lang w:val="en-US"/>
        </w:rPr>
        <w:t xml:space="preserve">System bandwidth: narrower bandwidth could be </w:t>
      </w:r>
      <w:r>
        <w:rPr>
          <w:rFonts w:eastAsiaTheme="minorEastAsia"/>
          <w:i/>
          <w:sz w:val="22"/>
          <w:lang w:val="en-US"/>
        </w:rPr>
        <w:t>more valid.</w:t>
      </w:r>
    </w:p>
    <w:p w14:paraId="3C2EC8D3"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Number of sub-channels: this should be considered for the number of PSCCH blind decoding.</w:t>
      </w:r>
    </w:p>
    <w:p w14:paraId="69DB1A45"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hint="eastAsia"/>
          <w:i/>
          <w:sz w:val="22"/>
          <w:lang w:val="en-US"/>
        </w:rPr>
        <w:t>MIMO: max 2 layers</w:t>
      </w:r>
      <w:r>
        <w:rPr>
          <w:rFonts w:eastAsiaTheme="minorEastAsia"/>
          <w:i/>
          <w:sz w:val="22"/>
          <w:lang w:val="en-US"/>
        </w:rPr>
        <w:t>.</w:t>
      </w:r>
    </w:p>
    <w:p w14:paraId="43CC8E90" w14:textId="77777777" w:rsidR="008B2B91" w:rsidRPr="00C82FD7" w:rsidRDefault="008B2B91" w:rsidP="008B2B91">
      <w:pPr>
        <w:spacing w:before="50"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19860547" w14:textId="77777777" w:rsidR="008B2B91" w:rsidRDefault="008B2B91" w:rsidP="008B2B91">
      <w:pPr>
        <w:numPr>
          <w:ilvl w:val="0"/>
          <w:numId w:val="8"/>
        </w:numPr>
        <w:spacing w:before="50" w:afterLines="50" w:after="120"/>
        <w:jc w:val="both"/>
        <w:rPr>
          <w:rFonts w:eastAsiaTheme="minorEastAsia"/>
          <w:i/>
          <w:sz w:val="22"/>
          <w:lang w:val="en-US"/>
        </w:rPr>
      </w:pPr>
      <w:r>
        <w:rPr>
          <w:rFonts w:eastAsiaTheme="minorEastAsia" w:hint="eastAsia"/>
          <w:i/>
          <w:sz w:val="22"/>
          <w:lang w:val="en-US"/>
        </w:rPr>
        <w:t xml:space="preserve">Power consumption model </w:t>
      </w:r>
      <w:r>
        <w:rPr>
          <w:rFonts w:eastAsiaTheme="minorEastAsia"/>
          <w:i/>
          <w:sz w:val="22"/>
          <w:lang w:val="en-US"/>
        </w:rPr>
        <w:t>in TR 38.840 is baseline.</w:t>
      </w:r>
    </w:p>
    <w:p w14:paraId="45853BE6"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hint="eastAsia"/>
          <w:i/>
          <w:sz w:val="22"/>
          <w:lang w:val="en-US"/>
        </w:rPr>
        <w:t xml:space="preserve">Three sleep states </w:t>
      </w:r>
      <w:r>
        <w:rPr>
          <w:rFonts w:eastAsiaTheme="minorEastAsia"/>
          <w:i/>
          <w:sz w:val="22"/>
          <w:lang w:val="en-US"/>
        </w:rPr>
        <w:t>are</w:t>
      </w:r>
      <w:r>
        <w:rPr>
          <w:rFonts w:eastAsiaTheme="minorEastAsia" w:hint="eastAsia"/>
          <w:i/>
          <w:sz w:val="22"/>
          <w:lang w:val="en-US"/>
        </w:rPr>
        <w:t xml:space="preserve"> reused.</w:t>
      </w:r>
    </w:p>
    <w:p w14:paraId="2357CEDB"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PSFCH TX and PSFCH RX is newly defined as well as PSCCH/PSSCH.</w:t>
      </w:r>
    </w:p>
    <w:p w14:paraId="7AA77B66" w14:textId="77777777" w:rsidR="008B2B91" w:rsidRDefault="008B2B91" w:rsidP="008B2B91">
      <w:pPr>
        <w:numPr>
          <w:ilvl w:val="0"/>
          <w:numId w:val="8"/>
        </w:numPr>
        <w:spacing w:before="50" w:afterLines="50" w:after="120"/>
        <w:jc w:val="both"/>
        <w:rPr>
          <w:rFonts w:eastAsiaTheme="minorEastAsia"/>
          <w:i/>
          <w:sz w:val="22"/>
          <w:lang w:val="en-US"/>
        </w:rPr>
      </w:pPr>
      <w:r>
        <w:rPr>
          <w:rFonts w:eastAsiaTheme="minorEastAsia"/>
          <w:i/>
          <w:sz w:val="22"/>
          <w:lang w:val="en-US"/>
        </w:rPr>
        <w:t>Regarding relative power,</w:t>
      </w:r>
    </w:p>
    <w:p w14:paraId="06360214"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PSCCH/PSSCH TX or S-SSB TX is the same as UL TX</w:t>
      </w:r>
    </w:p>
    <w:p w14:paraId="60FA5CDB"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PSCCH/PSSCH RX is the same as PDCCH/PDSCH RX: 300</w:t>
      </w:r>
    </w:p>
    <w:p w14:paraId="7FC9221C"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S-SSB RX is the same as SSB RX: 100</w:t>
      </w:r>
    </w:p>
    <w:p w14:paraId="622E833B"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 xml:space="preserve">PSFCH RX is the same as or smaller than PSCCH-only </w:t>
      </w:r>
      <w:r w:rsidRPr="004334F4">
        <w:rPr>
          <w:rFonts w:eastAsiaTheme="minorEastAsia"/>
          <w:i/>
          <w:sz w:val="22"/>
          <w:lang w:val="en-US"/>
        </w:rPr>
        <w:t xml:space="preserve">RX: </w:t>
      </w:r>
      <w:r w:rsidRPr="004334F4">
        <w:rPr>
          <w:rFonts w:eastAsia="ＭＳ 明朝"/>
          <w:i/>
          <w:sz w:val="22"/>
          <w:lang w:val="en-US"/>
        </w:rPr>
        <w:t xml:space="preserve">≤ </w:t>
      </w:r>
      <w:r w:rsidRPr="004334F4">
        <w:rPr>
          <w:rFonts w:eastAsiaTheme="minorEastAsia"/>
          <w:i/>
          <w:sz w:val="22"/>
          <w:lang w:val="en-US"/>
        </w:rPr>
        <w:t>100</w:t>
      </w:r>
    </w:p>
    <w:p w14:paraId="2D6D6067" w14:textId="77777777" w:rsidR="008B2B91" w:rsidRDefault="008B2B91" w:rsidP="008B2B91">
      <w:pPr>
        <w:numPr>
          <w:ilvl w:val="1"/>
          <w:numId w:val="8"/>
        </w:numPr>
        <w:spacing w:before="50" w:afterLines="50" w:after="120"/>
        <w:jc w:val="both"/>
        <w:rPr>
          <w:rFonts w:eastAsiaTheme="minorEastAsia"/>
          <w:i/>
          <w:sz w:val="22"/>
          <w:lang w:val="en-US"/>
        </w:rPr>
      </w:pPr>
      <w:r>
        <w:rPr>
          <w:rFonts w:eastAsiaTheme="minorEastAsia"/>
          <w:i/>
          <w:sz w:val="22"/>
          <w:lang w:val="en-US"/>
        </w:rPr>
        <w:t>GPS monitor is derived from TR 36.843: 20</w:t>
      </w:r>
    </w:p>
    <w:p w14:paraId="5134DDD9" w14:textId="77777777" w:rsidR="00E23DF0" w:rsidRPr="00C82FD7" w:rsidRDefault="00E23DF0" w:rsidP="00E23DF0">
      <w:pPr>
        <w:pStyle w:val="1"/>
        <w:spacing w:after="120"/>
        <w:jc w:val="both"/>
        <w:rPr>
          <w:b/>
          <w:lang w:val="en-US"/>
        </w:rPr>
      </w:pPr>
      <w:r w:rsidRPr="00C82FD7">
        <w:rPr>
          <w:b/>
          <w:lang w:val="en-US"/>
        </w:rPr>
        <w:lastRenderedPageBreak/>
        <w:t>References</w:t>
      </w:r>
    </w:p>
    <w:p w14:paraId="004A0878" w14:textId="4BA35D6A" w:rsidR="00982D6A" w:rsidRPr="00982D6A" w:rsidRDefault="00982D6A" w:rsidP="00982D6A">
      <w:pPr>
        <w:widowControl w:val="0"/>
        <w:numPr>
          <w:ilvl w:val="0"/>
          <w:numId w:val="4"/>
        </w:numPr>
        <w:spacing w:after="120"/>
        <w:jc w:val="both"/>
        <w:rPr>
          <w:sz w:val="22"/>
          <w:szCs w:val="22"/>
          <w:lang w:val="en-US"/>
        </w:rPr>
      </w:pPr>
      <w:r>
        <w:rPr>
          <w:rFonts w:hint="eastAsia"/>
          <w:sz w:val="22"/>
          <w:szCs w:val="22"/>
          <w:lang w:val="en-US"/>
        </w:rPr>
        <w:t>RP-201385</w:t>
      </w:r>
      <w:r>
        <w:rPr>
          <w:rFonts w:hint="eastAsia"/>
          <w:sz w:val="22"/>
          <w:szCs w:val="22"/>
          <w:lang w:val="en-US"/>
        </w:rPr>
        <w:tab/>
      </w:r>
      <w:r>
        <w:rPr>
          <w:rFonts w:hint="eastAsia"/>
          <w:sz w:val="22"/>
          <w:szCs w:val="22"/>
          <w:lang w:val="en-US"/>
        </w:rPr>
        <w:tab/>
        <w:t>WID revision: NR sidelink enhancement</w:t>
      </w:r>
      <w:r>
        <w:rPr>
          <w:rFonts w:hint="eastAsia"/>
          <w:sz w:val="22"/>
          <w:szCs w:val="22"/>
          <w:lang w:val="en-US"/>
        </w:rPr>
        <w:tab/>
      </w:r>
      <w:r>
        <w:rPr>
          <w:rFonts w:hint="eastAsia"/>
          <w:sz w:val="22"/>
          <w:szCs w:val="22"/>
          <w:lang w:val="en-US"/>
        </w:rPr>
        <w:tab/>
        <w:t>LG Electronics</w:t>
      </w:r>
    </w:p>
    <w:sectPr w:rsidR="00982D6A" w:rsidRPr="00982D6A">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0DACAF" w14:textId="77777777" w:rsidR="002629FB" w:rsidRDefault="002629FB">
      <w:r>
        <w:separator/>
      </w:r>
    </w:p>
  </w:endnote>
  <w:endnote w:type="continuationSeparator" w:id="0">
    <w:p w14:paraId="43B0EB85" w14:textId="77777777" w:rsidR="002629FB" w:rsidRDefault="002629FB">
      <w:r>
        <w:continuationSeparator/>
      </w:r>
    </w:p>
  </w:endnote>
  <w:endnote w:type="continuationNotice" w:id="1">
    <w:p w14:paraId="6D12CFB1" w14:textId="77777777" w:rsidR="002629FB" w:rsidRDefault="002629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885ED88" w:rsidR="00F67C25" w:rsidRPr="00000924" w:rsidRDefault="00F67C25">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593870">
      <w:rPr>
        <w:rStyle w:val="af3"/>
        <w:rFonts w:eastAsia="ＭＳ ゴシック"/>
        <w:noProof/>
      </w:rPr>
      <w:t>5</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593870">
      <w:rPr>
        <w:rStyle w:val="af3"/>
        <w:rFonts w:eastAsia="ＭＳ ゴシック"/>
        <w:noProof/>
      </w:rPr>
      <w:t>5</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15873" w14:textId="77777777" w:rsidR="002629FB" w:rsidRDefault="002629FB">
      <w:r>
        <w:separator/>
      </w:r>
    </w:p>
  </w:footnote>
  <w:footnote w:type="continuationSeparator" w:id="0">
    <w:p w14:paraId="21FB1A03" w14:textId="77777777" w:rsidR="002629FB" w:rsidRDefault="002629FB">
      <w:r>
        <w:continuationSeparator/>
      </w:r>
    </w:p>
  </w:footnote>
  <w:footnote w:type="continuationNotice" w:id="1">
    <w:p w14:paraId="5C593CA5" w14:textId="77777777" w:rsidR="002629FB" w:rsidRDefault="002629F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4E16AB3"/>
    <w:multiLevelType w:val="hybridMultilevel"/>
    <w:tmpl w:val="5D366608"/>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D12E21"/>
    <w:multiLevelType w:val="hybridMultilevel"/>
    <w:tmpl w:val="C700EF9E"/>
    <w:lvl w:ilvl="0" w:tplc="EE4A44B2">
      <w:start w:val="38"/>
      <w:numFmt w:val="bullet"/>
      <w:lvlText w:val="-"/>
      <w:lvlJc w:val="left"/>
      <w:pPr>
        <w:ind w:left="477" w:hanging="420"/>
      </w:pPr>
      <w:rPr>
        <w:rFonts w:ascii="Times New Roman" w:eastAsia="ＭＳ 明朝" w:hAnsi="Times New Roman" w:cs="Times New Roman" w:hint="default"/>
      </w:rPr>
    </w:lvl>
    <w:lvl w:ilvl="1" w:tplc="0409000B" w:tentative="1">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17"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6234C0F"/>
    <w:multiLevelType w:val="hybridMultilevel"/>
    <w:tmpl w:val="2076C2CA"/>
    <w:lvl w:ilvl="0" w:tplc="EE4A44B2">
      <w:start w:val="38"/>
      <w:numFmt w:val="bullet"/>
      <w:lvlText w:val="-"/>
      <w:lvlJc w:val="left"/>
      <w:pPr>
        <w:ind w:left="477" w:hanging="420"/>
      </w:pPr>
      <w:rPr>
        <w:rFonts w:ascii="Times New Roman" w:eastAsia="ＭＳ 明朝" w:hAnsi="Times New Roman" w:cs="Times New Roman" w:hint="default"/>
      </w:rPr>
    </w:lvl>
    <w:lvl w:ilvl="1" w:tplc="0409000B">
      <w:start w:val="1"/>
      <w:numFmt w:val="bullet"/>
      <w:lvlText w:val=""/>
      <w:lvlJc w:val="left"/>
      <w:pPr>
        <w:ind w:left="897" w:hanging="420"/>
      </w:pPr>
      <w:rPr>
        <w:rFonts w:ascii="Wingdings" w:hAnsi="Wingdings" w:hint="default"/>
      </w:rPr>
    </w:lvl>
    <w:lvl w:ilvl="2" w:tplc="0409000D"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B" w:tentative="1">
      <w:start w:val="1"/>
      <w:numFmt w:val="bullet"/>
      <w:lvlText w:val=""/>
      <w:lvlJc w:val="left"/>
      <w:pPr>
        <w:ind w:left="2157" w:hanging="420"/>
      </w:pPr>
      <w:rPr>
        <w:rFonts w:ascii="Wingdings" w:hAnsi="Wingdings" w:hint="default"/>
      </w:rPr>
    </w:lvl>
    <w:lvl w:ilvl="5" w:tplc="0409000D"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B" w:tentative="1">
      <w:start w:val="1"/>
      <w:numFmt w:val="bullet"/>
      <w:lvlText w:val=""/>
      <w:lvlJc w:val="left"/>
      <w:pPr>
        <w:ind w:left="3417" w:hanging="420"/>
      </w:pPr>
      <w:rPr>
        <w:rFonts w:ascii="Wingdings" w:hAnsi="Wingdings" w:hint="default"/>
      </w:rPr>
    </w:lvl>
    <w:lvl w:ilvl="8" w:tplc="0409000D" w:tentative="1">
      <w:start w:val="1"/>
      <w:numFmt w:val="bullet"/>
      <w:lvlText w:val=""/>
      <w:lvlJc w:val="left"/>
      <w:pPr>
        <w:ind w:left="3837" w:hanging="420"/>
      </w:pPr>
      <w:rPr>
        <w:rFonts w:ascii="Wingdings" w:hAnsi="Wingdings" w:hint="default"/>
      </w:rPr>
    </w:lvl>
  </w:abstractNum>
  <w:abstractNum w:abstractNumId="1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9304B56"/>
    <w:multiLevelType w:val="hybridMultilevel"/>
    <w:tmpl w:val="558EA41E"/>
    <w:lvl w:ilvl="0" w:tplc="976C765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1"/>
  </w:num>
  <w:num w:numId="3">
    <w:abstractNumId w:val="13"/>
  </w:num>
  <w:num w:numId="4">
    <w:abstractNumId w:val="6"/>
  </w:num>
  <w:num w:numId="5">
    <w:abstractNumId w:val="24"/>
  </w:num>
  <w:num w:numId="6">
    <w:abstractNumId w:val="19"/>
  </w:num>
  <w:num w:numId="7">
    <w:abstractNumId w:val="11"/>
  </w:num>
  <w:num w:numId="8">
    <w:abstractNumId w:val="17"/>
  </w:num>
  <w:num w:numId="9">
    <w:abstractNumId w:val="10"/>
  </w:num>
  <w:num w:numId="10">
    <w:abstractNumId w:val="1"/>
  </w:num>
  <w:num w:numId="11">
    <w:abstractNumId w:val="5"/>
  </w:num>
  <w:num w:numId="12">
    <w:abstractNumId w:val="15"/>
  </w:num>
  <w:num w:numId="13">
    <w:abstractNumId w:val="12"/>
  </w:num>
  <w:num w:numId="14">
    <w:abstractNumId w:val="22"/>
  </w:num>
  <w:num w:numId="15">
    <w:abstractNumId w:val="4"/>
  </w:num>
  <w:num w:numId="16">
    <w:abstractNumId w:val="23"/>
  </w:num>
  <w:num w:numId="17">
    <w:abstractNumId w:val="25"/>
  </w:num>
  <w:num w:numId="18">
    <w:abstractNumId w:val="14"/>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8"/>
  </w:num>
  <w:num w:numId="23">
    <w:abstractNumId w:val="2"/>
  </w:num>
  <w:num w:numId="24">
    <w:abstractNumId w:val="3"/>
  </w:num>
  <w:num w:numId="25">
    <w:abstractNumId w:val="20"/>
  </w:num>
  <w:num w:numId="26">
    <w:abstractNumId w:val="16"/>
  </w:num>
  <w:num w:numId="2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885"/>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DC5"/>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16C"/>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0F3"/>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AE8"/>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03"/>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40E"/>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671"/>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22D"/>
    <w:rsid w:val="00194674"/>
    <w:rsid w:val="0019489E"/>
    <w:rsid w:val="00194F9B"/>
    <w:rsid w:val="00195253"/>
    <w:rsid w:val="0019533E"/>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61F"/>
    <w:rsid w:val="001D371A"/>
    <w:rsid w:val="001D3BFB"/>
    <w:rsid w:val="001D3C60"/>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36E"/>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2"/>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CD"/>
    <w:rsid w:val="00232FD4"/>
    <w:rsid w:val="002332EC"/>
    <w:rsid w:val="00233553"/>
    <w:rsid w:val="00233E60"/>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850"/>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9F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3B8"/>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797"/>
    <w:rsid w:val="002C4B70"/>
    <w:rsid w:val="002C4BFC"/>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5E50"/>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A7D"/>
    <w:rsid w:val="00307BCE"/>
    <w:rsid w:val="00310797"/>
    <w:rsid w:val="00310CB5"/>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4D8F"/>
    <w:rsid w:val="0033554D"/>
    <w:rsid w:val="0033571F"/>
    <w:rsid w:val="0033578A"/>
    <w:rsid w:val="00336784"/>
    <w:rsid w:val="00337209"/>
    <w:rsid w:val="003372D4"/>
    <w:rsid w:val="00337408"/>
    <w:rsid w:val="00337549"/>
    <w:rsid w:val="003378FA"/>
    <w:rsid w:val="00337943"/>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C15"/>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7DD"/>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41"/>
    <w:rsid w:val="00383E36"/>
    <w:rsid w:val="003842DC"/>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3D17"/>
    <w:rsid w:val="003B41A3"/>
    <w:rsid w:val="003B42C3"/>
    <w:rsid w:val="003B44B2"/>
    <w:rsid w:val="003B48B5"/>
    <w:rsid w:val="003B4A8F"/>
    <w:rsid w:val="003B4B7A"/>
    <w:rsid w:val="003B4D0D"/>
    <w:rsid w:val="003B4D58"/>
    <w:rsid w:val="003B4E88"/>
    <w:rsid w:val="003B50CB"/>
    <w:rsid w:val="003B5534"/>
    <w:rsid w:val="003B560C"/>
    <w:rsid w:val="003B5A73"/>
    <w:rsid w:val="003B5EF5"/>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7B6"/>
    <w:rsid w:val="003F2E99"/>
    <w:rsid w:val="003F3021"/>
    <w:rsid w:val="003F376E"/>
    <w:rsid w:val="003F3843"/>
    <w:rsid w:val="003F42D6"/>
    <w:rsid w:val="003F4CA0"/>
    <w:rsid w:val="003F4D1B"/>
    <w:rsid w:val="003F4D3E"/>
    <w:rsid w:val="003F50EA"/>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35"/>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4F4"/>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DF6"/>
    <w:rsid w:val="00440E94"/>
    <w:rsid w:val="00441223"/>
    <w:rsid w:val="00441324"/>
    <w:rsid w:val="004416F6"/>
    <w:rsid w:val="00441A74"/>
    <w:rsid w:val="00441C71"/>
    <w:rsid w:val="00441D9E"/>
    <w:rsid w:val="00442640"/>
    <w:rsid w:val="004428C7"/>
    <w:rsid w:val="0044299D"/>
    <w:rsid w:val="00442AAE"/>
    <w:rsid w:val="00442E0F"/>
    <w:rsid w:val="0044313B"/>
    <w:rsid w:val="0044317D"/>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2041"/>
    <w:rsid w:val="00452209"/>
    <w:rsid w:val="00452316"/>
    <w:rsid w:val="00453306"/>
    <w:rsid w:val="004535DD"/>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853"/>
    <w:rsid w:val="00456BA3"/>
    <w:rsid w:val="00456C32"/>
    <w:rsid w:val="00456ED2"/>
    <w:rsid w:val="00457188"/>
    <w:rsid w:val="0045766D"/>
    <w:rsid w:val="00457699"/>
    <w:rsid w:val="00457B21"/>
    <w:rsid w:val="0046048B"/>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2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DC"/>
    <w:rsid w:val="00480726"/>
    <w:rsid w:val="00480795"/>
    <w:rsid w:val="00480953"/>
    <w:rsid w:val="00480A00"/>
    <w:rsid w:val="004814A6"/>
    <w:rsid w:val="00481562"/>
    <w:rsid w:val="00481CB1"/>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932"/>
    <w:rsid w:val="00495ADE"/>
    <w:rsid w:val="00496536"/>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9"/>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47E3"/>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265F"/>
    <w:rsid w:val="005028CB"/>
    <w:rsid w:val="00502A73"/>
    <w:rsid w:val="00502A8D"/>
    <w:rsid w:val="00502CB0"/>
    <w:rsid w:val="0050306B"/>
    <w:rsid w:val="0050323F"/>
    <w:rsid w:val="005032D7"/>
    <w:rsid w:val="0050330F"/>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7CD"/>
    <w:rsid w:val="00523861"/>
    <w:rsid w:val="0052387E"/>
    <w:rsid w:val="005238C8"/>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202"/>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304"/>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70"/>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64"/>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3F7A"/>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0D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2B12"/>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62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2E6"/>
    <w:rsid w:val="00704A70"/>
    <w:rsid w:val="00704D4A"/>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150"/>
    <w:rsid w:val="0071045B"/>
    <w:rsid w:val="00710559"/>
    <w:rsid w:val="007105C8"/>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E69"/>
    <w:rsid w:val="007362F6"/>
    <w:rsid w:val="007366A8"/>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9F"/>
    <w:rsid w:val="007473CF"/>
    <w:rsid w:val="0075023A"/>
    <w:rsid w:val="007506DB"/>
    <w:rsid w:val="00750AC5"/>
    <w:rsid w:val="00750E7B"/>
    <w:rsid w:val="00750FB3"/>
    <w:rsid w:val="007513F2"/>
    <w:rsid w:val="0075140C"/>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2B"/>
    <w:rsid w:val="007611FF"/>
    <w:rsid w:val="0076153C"/>
    <w:rsid w:val="00761695"/>
    <w:rsid w:val="007617E4"/>
    <w:rsid w:val="00761804"/>
    <w:rsid w:val="0076182F"/>
    <w:rsid w:val="00761FA3"/>
    <w:rsid w:val="00762044"/>
    <w:rsid w:val="007626CB"/>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791"/>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6A"/>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0A"/>
    <w:rsid w:val="007A1610"/>
    <w:rsid w:val="007A1E35"/>
    <w:rsid w:val="007A29D2"/>
    <w:rsid w:val="007A2A53"/>
    <w:rsid w:val="007A3259"/>
    <w:rsid w:val="007A32FF"/>
    <w:rsid w:val="007A337D"/>
    <w:rsid w:val="007A33BE"/>
    <w:rsid w:val="007A3CDD"/>
    <w:rsid w:val="007A411E"/>
    <w:rsid w:val="007A448E"/>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8E4"/>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0F21"/>
    <w:rsid w:val="008314A1"/>
    <w:rsid w:val="008314C1"/>
    <w:rsid w:val="0083150E"/>
    <w:rsid w:val="00831674"/>
    <w:rsid w:val="008317AF"/>
    <w:rsid w:val="00832197"/>
    <w:rsid w:val="008322AA"/>
    <w:rsid w:val="00832494"/>
    <w:rsid w:val="008326D8"/>
    <w:rsid w:val="00832803"/>
    <w:rsid w:val="0083326B"/>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55E3"/>
    <w:rsid w:val="008958CB"/>
    <w:rsid w:val="008959B4"/>
    <w:rsid w:val="00895BF0"/>
    <w:rsid w:val="008962DC"/>
    <w:rsid w:val="00896452"/>
    <w:rsid w:val="0089663F"/>
    <w:rsid w:val="00896A21"/>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2EB"/>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B91"/>
    <w:rsid w:val="008B2EC8"/>
    <w:rsid w:val="008B2F2D"/>
    <w:rsid w:val="008B2F31"/>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236"/>
    <w:rsid w:val="00936400"/>
    <w:rsid w:val="0093682F"/>
    <w:rsid w:val="00936D01"/>
    <w:rsid w:val="0093734F"/>
    <w:rsid w:val="00937716"/>
    <w:rsid w:val="00937749"/>
    <w:rsid w:val="009379E4"/>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2D"/>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4F1"/>
    <w:rsid w:val="0097374F"/>
    <w:rsid w:val="00973D0A"/>
    <w:rsid w:val="00973E18"/>
    <w:rsid w:val="00974156"/>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278"/>
    <w:rsid w:val="00977AD0"/>
    <w:rsid w:val="00977D9D"/>
    <w:rsid w:val="00980834"/>
    <w:rsid w:val="00980839"/>
    <w:rsid w:val="009809E7"/>
    <w:rsid w:val="00980B7F"/>
    <w:rsid w:val="009814E3"/>
    <w:rsid w:val="009816D9"/>
    <w:rsid w:val="00981BEC"/>
    <w:rsid w:val="00981DAD"/>
    <w:rsid w:val="00981DFA"/>
    <w:rsid w:val="00982396"/>
    <w:rsid w:val="00982D6A"/>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2E9"/>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3A4C"/>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604"/>
    <w:rsid w:val="00A62AA0"/>
    <w:rsid w:val="00A62EB4"/>
    <w:rsid w:val="00A6304A"/>
    <w:rsid w:val="00A63ABF"/>
    <w:rsid w:val="00A63C59"/>
    <w:rsid w:val="00A63CA0"/>
    <w:rsid w:val="00A63EA9"/>
    <w:rsid w:val="00A64429"/>
    <w:rsid w:val="00A6443A"/>
    <w:rsid w:val="00A64791"/>
    <w:rsid w:val="00A649D9"/>
    <w:rsid w:val="00A64F1A"/>
    <w:rsid w:val="00A65870"/>
    <w:rsid w:val="00A65B56"/>
    <w:rsid w:val="00A65F3D"/>
    <w:rsid w:val="00A661F2"/>
    <w:rsid w:val="00A663AF"/>
    <w:rsid w:val="00A667AC"/>
    <w:rsid w:val="00A66AD4"/>
    <w:rsid w:val="00A6732F"/>
    <w:rsid w:val="00A67C8B"/>
    <w:rsid w:val="00A70206"/>
    <w:rsid w:val="00A70233"/>
    <w:rsid w:val="00A70836"/>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68B"/>
    <w:rsid w:val="00AA18C0"/>
    <w:rsid w:val="00AA19FA"/>
    <w:rsid w:val="00AA1C83"/>
    <w:rsid w:val="00AA1DF8"/>
    <w:rsid w:val="00AA226D"/>
    <w:rsid w:val="00AA2317"/>
    <w:rsid w:val="00AA2AB2"/>
    <w:rsid w:val="00AA3095"/>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1DF"/>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4C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80"/>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474"/>
    <w:rsid w:val="00AF5549"/>
    <w:rsid w:val="00AF58CD"/>
    <w:rsid w:val="00AF58EE"/>
    <w:rsid w:val="00AF5941"/>
    <w:rsid w:val="00AF5E6B"/>
    <w:rsid w:val="00AF6490"/>
    <w:rsid w:val="00AF7251"/>
    <w:rsid w:val="00AF73DC"/>
    <w:rsid w:val="00AF795C"/>
    <w:rsid w:val="00AF7C6C"/>
    <w:rsid w:val="00AF7F81"/>
    <w:rsid w:val="00AF7FD4"/>
    <w:rsid w:val="00B00DF2"/>
    <w:rsid w:val="00B01057"/>
    <w:rsid w:val="00B011C1"/>
    <w:rsid w:val="00B017FB"/>
    <w:rsid w:val="00B01854"/>
    <w:rsid w:val="00B01DCB"/>
    <w:rsid w:val="00B01EBC"/>
    <w:rsid w:val="00B01EF2"/>
    <w:rsid w:val="00B023A9"/>
    <w:rsid w:val="00B0270D"/>
    <w:rsid w:val="00B02CF5"/>
    <w:rsid w:val="00B02DA1"/>
    <w:rsid w:val="00B035FA"/>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272"/>
    <w:rsid w:val="00B31620"/>
    <w:rsid w:val="00B31951"/>
    <w:rsid w:val="00B31FA6"/>
    <w:rsid w:val="00B32087"/>
    <w:rsid w:val="00B320F3"/>
    <w:rsid w:val="00B326AB"/>
    <w:rsid w:val="00B32C08"/>
    <w:rsid w:val="00B32CF2"/>
    <w:rsid w:val="00B32E44"/>
    <w:rsid w:val="00B32F23"/>
    <w:rsid w:val="00B33106"/>
    <w:rsid w:val="00B33122"/>
    <w:rsid w:val="00B3357A"/>
    <w:rsid w:val="00B33783"/>
    <w:rsid w:val="00B33BB6"/>
    <w:rsid w:val="00B33BCB"/>
    <w:rsid w:val="00B3404C"/>
    <w:rsid w:val="00B342A7"/>
    <w:rsid w:val="00B3483A"/>
    <w:rsid w:val="00B34B4C"/>
    <w:rsid w:val="00B34FD6"/>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51F"/>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B7F"/>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426"/>
    <w:rsid w:val="00BA3E04"/>
    <w:rsid w:val="00BA405E"/>
    <w:rsid w:val="00BA4886"/>
    <w:rsid w:val="00BA4B5B"/>
    <w:rsid w:val="00BA4D72"/>
    <w:rsid w:val="00BA5005"/>
    <w:rsid w:val="00BA56FA"/>
    <w:rsid w:val="00BA5738"/>
    <w:rsid w:val="00BA594F"/>
    <w:rsid w:val="00BA5BFF"/>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8D8"/>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BF7CCC"/>
    <w:rsid w:val="00C007D5"/>
    <w:rsid w:val="00C0087D"/>
    <w:rsid w:val="00C00AF4"/>
    <w:rsid w:val="00C00B3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832"/>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B89"/>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32D"/>
    <w:rsid w:val="00CC051C"/>
    <w:rsid w:val="00CC0B1A"/>
    <w:rsid w:val="00CC126E"/>
    <w:rsid w:val="00CC1852"/>
    <w:rsid w:val="00CC1949"/>
    <w:rsid w:val="00CC1B85"/>
    <w:rsid w:val="00CC1E34"/>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C7264"/>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399"/>
    <w:rsid w:val="00D11843"/>
    <w:rsid w:val="00D11C36"/>
    <w:rsid w:val="00D120BA"/>
    <w:rsid w:val="00D12565"/>
    <w:rsid w:val="00D127C7"/>
    <w:rsid w:val="00D129DB"/>
    <w:rsid w:val="00D13462"/>
    <w:rsid w:val="00D134B1"/>
    <w:rsid w:val="00D138D3"/>
    <w:rsid w:val="00D13DB5"/>
    <w:rsid w:val="00D14044"/>
    <w:rsid w:val="00D140C0"/>
    <w:rsid w:val="00D14419"/>
    <w:rsid w:val="00D14420"/>
    <w:rsid w:val="00D14AE8"/>
    <w:rsid w:val="00D1503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161"/>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2CA"/>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20B"/>
    <w:rsid w:val="00D8258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17A"/>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6F"/>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C1B"/>
    <w:rsid w:val="00DE3EE0"/>
    <w:rsid w:val="00DE4323"/>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489"/>
    <w:rsid w:val="00E0678C"/>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7F"/>
    <w:rsid w:val="00E12991"/>
    <w:rsid w:val="00E131B8"/>
    <w:rsid w:val="00E132FF"/>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19"/>
    <w:rsid w:val="00E24D52"/>
    <w:rsid w:val="00E26014"/>
    <w:rsid w:val="00E26138"/>
    <w:rsid w:val="00E262BC"/>
    <w:rsid w:val="00E2691A"/>
    <w:rsid w:val="00E26B46"/>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3FBF"/>
    <w:rsid w:val="00E342EC"/>
    <w:rsid w:val="00E34EA4"/>
    <w:rsid w:val="00E356E5"/>
    <w:rsid w:val="00E358EB"/>
    <w:rsid w:val="00E35930"/>
    <w:rsid w:val="00E35BA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B74"/>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6D12"/>
    <w:rsid w:val="00E676B3"/>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6BF0"/>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52BC"/>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A0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207"/>
    <w:rsid w:val="00F5646F"/>
    <w:rsid w:val="00F56ACB"/>
    <w:rsid w:val="00F56FFE"/>
    <w:rsid w:val="00F57798"/>
    <w:rsid w:val="00F5787C"/>
    <w:rsid w:val="00F57A93"/>
    <w:rsid w:val="00F57C4E"/>
    <w:rsid w:val="00F57DD6"/>
    <w:rsid w:val="00F60171"/>
    <w:rsid w:val="00F6031F"/>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393"/>
    <w:rsid w:val="00F6662B"/>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158"/>
    <w:rsid w:val="00F73634"/>
    <w:rsid w:val="00F74156"/>
    <w:rsid w:val="00F74B51"/>
    <w:rsid w:val="00F74BA7"/>
    <w:rsid w:val="00F74CE2"/>
    <w:rsid w:val="00F74CE9"/>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4F"/>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748"/>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00D"/>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239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854557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1150220">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AD79D6-4FD2-438E-A1EE-A6B4278AD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3950</TotalTime>
  <Pages>1</Pages>
  <Words>1165</Words>
  <Characters>6644</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456</cp:revision>
  <cp:lastPrinted>2016-09-21T11:03:00Z</cp:lastPrinted>
  <dcterms:created xsi:type="dcterms:W3CDTF">2019-02-15T07:05:00Z</dcterms:created>
  <dcterms:modified xsi:type="dcterms:W3CDTF">2020-08-07T14:22:00Z</dcterms:modified>
</cp:coreProperties>
</file>